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1"/>
        <w:gridCol w:w="6953"/>
      </w:tblGrid>
      <w:tr w:rsidR="00C50277" w:rsidTr="001D399C">
        <w:trPr>
          <w:trHeight w:val="337"/>
          <w:jc w:val="center"/>
        </w:trPr>
        <w:tc>
          <w:tcPr>
            <w:tcW w:w="1592" w:type="dxa"/>
          </w:tcPr>
          <w:p w:rsidR="00C50277" w:rsidRPr="00053909" w:rsidRDefault="00C82789" w:rsidP="00C82789">
            <w:pPr>
              <w:pStyle w:val="a5"/>
              <w:bidi w:val="0"/>
              <w:spacing w:line="360" w:lineRule="auto"/>
              <w:jc w:val="both"/>
              <w:rPr>
                <w:rFonts w:ascii="Times New Roman" w:hAnsi="Times New Roman"/>
              </w:rPr>
            </w:pPr>
            <w:r>
              <w:rPr>
                <w:rFonts w:ascii="Times New Roman" w:hAnsi="Times New Roman"/>
              </w:rPr>
              <w:t xml:space="preserve"> </w:t>
            </w:r>
            <w:r w:rsidR="00030486">
              <w:rPr>
                <w:rFonts w:ascii="Times New Roman" w:hAnsi="Times New Roman"/>
              </w:rPr>
              <w:t xml:space="preserve">  </w:t>
            </w:r>
          </w:p>
        </w:tc>
        <w:tc>
          <w:tcPr>
            <w:tcW w:w="7128" w:type="dxa"/>
          </w:tcPr>
          <w:p w:rsidR="00635C8E" w:rsidRPr="00445270" w:rsidRDefault="00030486" w:rsidP="00445270">
            <w:pPr>
              <w:pStyle w:val="a5"/>
              <w:jc w:val="right"/>
              <w:rPr>
                <w:rtl/>
              </w:rPr>
            </w:pPr>
            <w:r>
              <w:rPr>
                <w:rFonts w:hint="cs"/>
                <w:rtl/>
              </w:rPr>
              <w:t xml:space="preserve"> </w:t>
            </w:r>
          </w:p>
        </w:tc>
      </w:tr>
      <w:tr w:rsidR="00445270" w:rsidTr="00EE410A">
        <w:trPr>
          <w:trHeight w:val="337"/>
          <w:jc w:val="center"/>
        </w:trPr>
        <w:tc>
          <w:tcPr>
            <w:tcW w:w="1592" w:type="dxa"/>
          </w:tcPr>
          <w:p w:rsidR="00445270" w:rsidRDefault="00445270" w:rsidP="00E620AB">
            <w:pPr>
              <w:pStyle w:val="a5"/>
              <w:bidi w:val="0"/>
              <w:jc w:val="both"/>
              <w:rPr>
                <w:rFonts w:ascii="Times New Roman" w:hAnsi="Times New Roman"/>
              </w:rPr>
            </w:pPr>
          </w:p>
        </w:tc>
        <w:tc>
          <w:tcPr>
            <w:tcW w:w="7128" w:type="dxa"/>
            <w:vAlign w:val="center"/>
          </w:tcPr>
          <w:p w:rsidR="00445270" w:rsidRPr="008411C5" w:rsidRDefault="00833BD9" w:rsidP="00EE410A">
            <w:pPr>
              <w:pStyle w:val="a5"/>
              <w:jc w:val="right"/>
              <w:rPr>
                <w:b/>
                <w:bCs/>
                <w:sz w:val="4"/>
                <w:szCs w:val="4"/>
                <w:rtl/>
              </w:rPr>
            </w:pPr>
            <w:r>
              <w:rPr>
                <w:rFonts w:hint="cs"/>
                <w:b/>
                <w:bCs/>
                <w:rtl/>
              </w:rPr>
              <w:t xml:space="preserve">                      </w:t>
            </w:r>
            <w:r w:rsidR="00445270">
              <w:rPr>
                <w:b/>
                <w:bCs/>
                <w:rtl/>
              </w:rPr>
              <w:t xml:space="preserve"> </w:t>
            </w:r>
            <w:sdt>
              <w:sdtPr>
                <w:rPr>
                  <w:b/>
                  <w:bCs/>
                  <w:rtl/>
                </w:rPr>
                <w:alias w:val="2936"/>
                <w:tag w:val="2936"/>
                <w:id w:val="1457141060"/>
                <w:placeholder>
                  <w:docPart w:val="320E3BAAD785489EAD1336ADB75BB3E7"/>
                </w:placeholder>
                <w:text w:multiLine="1"/>
              </w:sdtPr>
              <w:sdtEndPr/>
              <w:sdtContent>
                <w:r>
                  <w:rPr>
                    <w:b/>
                    <w:bCs/>
                    <w:rtl/>
                  </w:rPr>
                  <w:t xml:space="preserve">מספר </w:t>
                </w:r>
                <w:proofErr w:type="spellStart"/>
                <w:r>
                  <w:rPr>
                    <w:b/>
                    <w:bCs/>
                    <w:rtl/>
                  </w:rPr>
                  <w:t>פל"א</w:t>
                </w:r>
                <w:proofErr w:type="spellEnd"/>
              </w:sdtContent>
            </w:sdt>
            <w:r w:rsidR="00445270">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Pr>
                    <w:rFonts w:hint="eastAsia"/>
                    <w:b/>
                    <w:bCs/>
                  </w:rPr>
                  <w:t>521122/2017</w:t>
                </w:r>
              </w:sdtContent>
            </w:sdt>
            <w:r w:rsidR="00445270">
              <w:rPr>
                <w:b/>
                <w:bCs/>
                <w:rtl/>
              </w:rPr>
              <w:t xml:space="preserve"> </w:t>
            </w:r>
            <w:sdt>
              <w:sdtPr>
                <w:rPr>
                  <w:b/>
                  <w:bCs/>
                  <w:rtl/>
                </w:rPr>
                <w:alias w:val="2936"/>
                <w:tag w:val="2936"/>
                <w:id w:val="1907407044"/>
                <w:placeholder>
                  <w:docPart w:val="320E3BAAD785489EAD1336ADB75BB3E7"/>
                </w:placeholder>
                <w:text w:multiLine="1"/>
              </w:sdtPr>
              <w:sdtEndPr/>
              <w:sdtContent>
                <w:r>
                  <w:rPr>
                    <w:b/>
                    <w:bCs/>
                    <w:rtl/>
                  </w:rPr>
                  <w:t xml:space="preserve">מספר </w:t>
                </w:r>
                <w:proofErr w:type="spellStart"/>
                <w:r>
                  <w:rPr>
                    <w:b/>
                    <w:bCs/>
                    <w:rtl/>
                  </w:rPr>
                  <w:t>פל"א</w:t>
                </w:r>
                <w:proofErr w:type="spellEnd"/>
              </w:sdtContent>
            </w:sdt>
            <w:r w:rsidR="00445270">
              <w:rPr>
                <w:rFonts w:hint="cs"/>
                <w:b/>
                <w:bCs/>
                <w:rtl/>
              </w:rPr>
              <w:t xml:space="preserve"> </w:t>
            </w:r>
            <w:sdt>
              <w:sdtPr>
                <w:rPr>
                  <w:rFonts w:hint="cs"/>
                  <w:b/>
                  <w:bCs/>
                  <w:rtl/>
                </w:rPr>
                <w:alias w:val="2935"/>
                <w:tag w:val="2935"/>
                <w:id w:val="-1486081562"/>
                <w:placeholder>
                  <w:docPart w:val="A226718737514239AF3DD844B205A56A"/>
                </w:placeholder>
                <w:text w:multiLine="1"/>
              </w:sdtPr>
              <w:sdtEndPr/>
              <w:sdtContent>
                <w:r>
                  <w:rPr>
                    <w:rFonts w:hint="eastAsia"/>
                    <w:b/>
                    <w:bCs/>
                  </w:rPr>
                  <w:t>52122/2017</w:t>
                </w:r>
              </w:sdtContent>
            </w:sdt>
          </w:p>
        </w:tc>
      </w:tr>
      <w:tr w:rsidR="008411C5" w:rsidTr="001D399C">
        <w:trPr>
          <w:trHeight w:val="337"/>
          <w:jc w:val="center"/>
        </w:trPr>
        <w:tc>
          <w:tcPr>
            <w:tcW w:w="1592" w:type="dxa"/>
          </w:tcPr>
          <w:p w:rsidR="008411C5" w:rsidRDefault="008411C5" w:rsidP="00E620AB">
            <w:pPr>
              <w:pStyle w:val="a5"/>
              <w:bidi w:val="0"/>
              <w:jc w:val="both"/>
              <w:rPr>
                <w:rFonts w:ascii="Times New Roman" w:hAnsi="Times New Roman"/>
              </w:rPr>
            </w:pPr>
          </w:p>
        </w:tc>
        <w:tc>
          <w:tcPr>
            <w:tcW w:w="7128" w:type="dxa"/>
          </w:tcPr>
          <w:p w:rsidR="00091461" w:rsidRDefault="00091461">
            <w:pPr>
              <w:pStyle w:val="a5"/>
              <w:jc w:val="right"/>
              <w:rPr>
                <w:rtl/>
              </w:rPr>
            </w:pPr>
          </w:p>
        </w:tc>
      </w:tr>
    </w:tbl>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646957" w:rsidTr="00646957">
        <w:trPr>
          <w:gridBefore w:val="1"/>
          <w:gridAfter w:val="1"/>
          <w:wBefore w:w="28" w:type="dxa"/>
          <w:wAfter w:w="56" w:type="dxa"/>
        </w:trPr>
        <w:tc>
          <w:tcPr>
            <w:tcW w:w="8718" w:type="dxa"/>
            <w:gridSpan w:val="2"/>
          </w:tcPr>
          <w:p w:rsidR="00646957" w:rsidRDefault="00C82789" w:rsidP="00C82789">
            <w:pPr>
              <w:rPr>
                <w:rStyle w:val="TimesNewRomanTimesNewRoman"/>
                <w:rtl/>
              </w:rPr>
            </w:pPr>
            <w:r>
              <w:rPr>
                <w:rFonts w:cs="David" w:hint="cs"/>
                <w:b/>
                <w:bCs/>
                <w:sz w:val="26"/>
                <w:szCs w:val="26"/>
                <w:rtl/>
              </w:rPr>
              <w:t>לפני כבוד סגן הנשיאה, השופט עמי קובו</w:t>
            </w:r>
            <w:r w:rsidR="003411B9">
              <w:rPr>
                <w:rStyle w:val="TimesNewRomanTimesNewRoman"/>
                <w:rtl/>
              </w:rPr>
              <w:t xml:space="preserve"> </w:t>
            </w:r>
          </w:p>
          <w:p w:rsidR="00646957" w:rsidRDefault="00073838">
            <w:pPr>
              <w:rPr>
                <w:rtl/>
              </w:rPr>
            </w:pPr>
          </w:p>
        </w:tc>
      </w:tr>
      <w:tr w:rsidR="00646957" w:rsidTr="00646957">
        <w:trPr>
          <w:cantSplit/>
          <w:trHeight w:val="215"/>
        </w:trPr>
        <w:tc>
          <w:tcPr>
            <w:tcW w:w="2880" w:type="dxa"/>
            <w:gridSpan w:val="2"/>
            <w:hideMark/>
          </w:tcPr>
          <w:p w:rsidR="00646957" w:rsidRDefault="003411B9">
            <w:pPr>
              <w:ind w:left="26"/>
              <w:rPr>
                <w:rFonts w:cs="David"/>
                <w:b/>
                <w:bCs/>
                <w:sz w:val="26"/>
                <w:szCs w:val="26"/>
                <w:rtl/>
              </w:rPr>
            </w:pPr>
            <w:r>
              <w:rPr>
                <w:rFonts w:cs="David" w:hint="cs"/>
                <w:b/>
                <w:bCs/>
                <w:sz w:val="26"/>
                <w:szCs w:val="26"/>
                <w:rtl/>
              </w:rPr>
              <w:t>המאשימה</w:t>
            </w:r>
          </w:p>
        </w:tc>
        <w:tc>
          <w:tcPr>
            <w:tcW w:w="5922" w:type="dxa"/>
            <w:gridSpan w:val="2"/>
            <w:hideMark/>
          </w:tcPr>
          <w:p w:rsidR="00646957" w:rsidRDefault="003411B9" w:rsidP="00C1469D">
            <w:pPr>
              <w:jc w:val="left"/>
              <w:rPr>
                <w:rFonts w:cs="David"/>
                <w:b/>
                <w:bCs/>
                <w:sz w:val="26"/>
                <w:szCs w:val="26"/>
                <w:rtl/>
              </w:rPr>
            </w:pPr>
            <w:r>
              <w:rPr>
                <w:rFonts w:cs="David" w:hint="cs"/>
                <w:b/>
                <w:bCs/>
                <w:sz w:val="26"/>
                <w:szCs w:val="26"/>
                <w:rtl/>
              </w:rPr>
              <w:t>מדינת ישראל</w:t>
            </w:r>
          </w:p>
        </w:tc>
      </w:tr>
      <w:tr w:rsidR="00646957" w:rsidTr="00646957">
        <w:tc>
          <w:tcPr>
            <w:tcW w:w="8802" w:type="dxa"/>
            <w:gridSpan w:val="4"/>
            <w:vAlign w:val="center"/>
          </w:tcPr>
          <w:p w:rsidR="00646957" w:rsidRDefault="00073838">
            <w:pPr>
              <w:jc w:val="center"/>
              <w:rPr>
                <w:rFonts w:ascii="Arial" w:hAnsi="Arial" w:cs="David"/>
                <w:b/>
                <w:bCs/>
                <w:sz w:val="26"/>
                <w:szCs w:val="26"/>
                <w:rtl/>
              </w:rPr>
            </w:pPr>
          </w:p>
          <w:p w:rsidR="00646957" w:rsidRDefault="003411B9">
            <w:pPr>
              <w:jc w:val="center"/>
              <w:rPr>
                <w:rFonts w:ascii="Arial" w:hAnsi="Arial" w:cs="David"/>
                <w:b/>
                <w:bCs/>
                <w:sz w:val="26"/>
                <w:szCs w:val="26"/>
                <w:rtl/>
              </w:rPr>
            </w:pPr>
            <w:r>
              <w:rPr>
                <w:rFonts w:ascii="Arial" w:hAnsi="Arial" w:cs="David" w:hint="cs"/>
                <w:b/>
                <w:bCs/>
                <w:sz w:val="26"/>
                <w:szCs w:val="26"/>
                <w:rtl/>
              </w:rPr>
              <w:t>נגד</w:t>
            </w:r>
          </w:p>
          <w:p w:rsidR="00646957" w:rsidRDefault="00073838">
            <w:pPr>
              <w:rPr>
                <w:rFonts w:ascii="Arial" w:hAnsi="Arial" w:cs="David"/>
                <w:b/>
                <w:bCs/>
                <w:sz w:val="26"/>
                <w:szCs w:val="26"/>
                <w:rtl/>
              </w:rPr>
            </w:pPr>
          </w:p>
        </w:tc>
      </w:tr>
      <w:tr w:rsidR="00646957" w:rsidTr="00646957">
        <w:tc>
          <w:tcPr>
            <w:tcW w:w="2880" w:type="dxa"/>
            <w:gridSpan w:val="2"/>
            <w:hideMark/>
          </w:tcPr>
          <w:p w:rsidR="00646957" w:rsidRDefault="003411B9">
            <w:pPr>
              <w:ind w:left="26"/>
              <w:rPr>
                <w:rFonts w:cs="David"/>
                <w:b/>
                <w:bCs/>
                <w:sz w:val="26"/>
                <w:szCs w:val="26"/>
              </w:rPr>
            </w:pPr>
            <w:r>
              <w:rPr>
                <w:rFonts w:cs="David" w:hint="cs"/>
                <w:b/>
                <w:bCs/>
                <w:sz w:val="26"/>
                <w:szCs w:val="26"/>
                <w:rtl/>
              </w:rPr>
              <w:t>הנאשמים</w:t>
            </w:r>
          </w:p>
        </w:tc>
        <w:tc>
          <w:tcPr>
            <w:tcW w:w="5922" w:type="dxa"/>
            <w:gridSpan w:val="2"/>
            <w:hideMark/>
          </w:tcPr>
          <w:p w:rsidR="00646957" w:rsidRDefault="003411B9" w:rsidP="00C1469D">
            <w:pPr>
              <w:jc w:val="both"/>
              <w:rPr>
                <w:rFonts w:cs="David"/>
                <w:b/>
                <w:bCs/>
                <w:sz w:val="26"/>
                <w:szCs w:val="26"/>
                <w:rtl/>
              </w:rPr>
            </w:pPr>
            <w:r>
              <w:rPr>
                <w:rFonts w:cs="David"/>
                <w:b/>
                <w:bCs/>
                <w:sz w:val="26"/>
                <w:szCs w:val="26"/>
              </w:rPr>
              <w:t>.1</w:t>
            </w:r>
            <w:r>
              <w:rPr>
                <w:rtl/>
              </w:rPr>
              <w:t xml:space="preserve"> </w:t>
            </w:r>
            <w:r>
              <w:rPr>
                <w:rFonts w:cs="David" w:hint="cs"/>
                <w:b/>
                <w:bCs/>
                <w:sz w:val="26"/>
                <w:szCs w:val="26"/>
                <w:rtl/>
              </w:rPr>
              <w:t>חנוך שאול פרוינד</w:t>
            </w:r>
            <w:r>
              <w:rPr>
                <w:rtl/>
              </w:rPr>
              <w:t xml:space="preserve"> </w:t>
            </w:r>
            <w:r>
              <w:rPr>
                <w:rFonts w:cs="David" w:hint="cs"/>
                <w:b/>
                <w:bCs/>
                <w:sz w:val="26"/>
                <w:szCs w:val="26"/>
                <w:rtl/>
              </w:rPr>
              <w:t xml:space="preserve">ת"ז  028718328 </w:t>
            </w:r>
          </w:p>
          <w:p w:rsidR="00754308" w:rsidRDefault="003411B9" w:rsidP="00754308">
            <w:pPr>
              <w:jc w:val="both"/>
              <w:rPr>
                <w:rFonts w:cs="David"/>
                <w:b/>
                <w:bCs/>
                <w:sz w:val="26"/>
                <w:szCs w:val="26"/>
              </w:rPr>
            </w:pPr>
            <w:r>
              <w:rPr>
                <w:rFonts w:cs="David"/>
                <w:b/>
                <w:bCs/>
                <w:sz w:val="26"/>
                <w:szCs w:val="26"/>
              </w:rPr>
              <w:t>.2</w:t>
            </w:r>
            <w:r>
              <w:rPr>
                <w:rtl/>
              </w:rPr>
              <w:t xml:space="preserve"> </w:t>
            </w:r>
            <w:r>
              <w:rPr>
                <w:rFonts w:cs="David" w:hint="cs"/>
                <w:b/>
                <w:bCs/>
                <w:sz w:val="26"/>
                <w:szCs w:val="26"/>
                <w:rtl/>
              </w:rPr>
              <w:t>ח.ש פרוינד בע"מ</w:t>
            </w:r>
            <w:r>
              <w:rPr>
                <w:rtl/>
              </w:rPr>
              <w:t xml:space="preserve"> </w:t>
            </w:r>
            <w:r>
              <w:rPr>
                <w:rFonts w:cs="David" w:hint="cs"/>
                <w:b/>
                <w:bCs/>
                <w:sz w:val="26"/>
                <w:szCs w:val="26"/>
                <w:rtl/>
              </w:rPr>
              <w:t xml:space="preserve">חברות  514877398 </w:t>
            </w:r>
          </w:p>
          <w:p w:rsidR="00646957" w:rsidRDefault="003411B9" w:rsidP="00C1469D">
            <w:pPr>
              <w:jc w:val="both"/>
              <w:rPr>
                <w:rFonts w:cs="David"/>
                <w:b/>
                <w:bCs/>
                <w:sz w:val="26"/>
                <w:szCs w:val="26"/>
                <w:rtl/>
              </w:rPr>
            </w:pPr>
            <w:r>
              <w:rPr>
                <w:rFonts w:cs="David" w:hint="cs"/>
                <w:b/>
                <w:bCs/>
                <w:sz w:val="26"/>
                <w:szCs w:val="26"/>
                <w:rtl/>
              </w:rPr>
              <w:t xml:space="preserve"> </w:t>
            </w:r>
          </w:p>
        </w:tc>
      </w:tr>
    </w:tbl>
    <w:p w:rsidR="001434F7" w:rsidRDefault="00073838"/>
    <w:p w:rsidR="0081159E" w:rsidRDefault="0081159E">
      <w:pPr>
        <w:spacing w:line="360" w:lineRule="auto"/>
        <w:jc w:val="both"/>
        <w:rPr>
          <w:rtl/>
        </w:rPr>
      </w:pPr>
    </w:p>
    <w:p w:rsidR="0081159E" w:rsidRDefault="0081159E">
      <w:pPr>
        <w:spacing w:line="360" w:lineRule="auto"/>
        <w:jc w:val="both"/>
        <w:rPr>
          <w:sz w:val="6"/>
          <w:szCs w:val="6"/>
          <w:rtl/>
        </w:rPr>
      </w:pPr>
      <w:r>
        <w:rPr>
          <w:sz w:val="6"/>
          <w:szCs w:val="6"/>
          <w:rtl/>
        </w:rPr>
        <w:t>&lt;#2#&gt;</w:t>
      </w:r>
    </w:p>
    <w:p w:rsidR="0081159E" w:rsidRDefault="0081159E">
      <w:pPr>
        <w:pStyle w:val="12"/>
        <w:rPr>
          <w:rtl/>
        </w:rPr>
      </w:pPr>
      <w:r>
        <w:rPr>
          <w:rFonts w:hint="cs"/>
          <w:rtl/>
        </w:rPr>
        <w:t>נוכחים:</w:t>
      </w:r>
    </w:p>
    <w:p w:rsidR="0081159E" w:rsidRDefault="00C1469D">
      <w:pPr>
        <w:pStyle w:val="12"/>
        <w:rPr>
          <w:b w:val="0"/>
          <w:bCs w:val="0"/>
          <w:u w:val="none"/>
          <w:rtl/>
        </w:rPr>
      </w:pPr>
      <w:r>
        <w:rPr>
          <w:rFonts w:hint="cs"/>
          <w:b w:val="0"/>
          <w:bCs w:val="0"/>
          <w:u w:val="none"/>
          <w:rtl/>
        </w:rPr>
        <w:t xml:space="preserve">ב"כ המאשימה עו"ד ניר מסורי </w:t>
      </w:r>
    </w:p>
    <w:p w:rsidR="00C1469D" w:rsidRDefault="00754308" w:rsidP="00C82789">
      <w:pPr>
        <w:pStyle w:val="12"/>
        <w:tabs>
          <w:tab w:val="left" w:pos="5950"/>
        </w:tabs>
        <w:rPr>
          <w:b w:val="0"/>
          <w:bCs w:val="0"/>
          <w:u w:val="none"/>
          <w:rtl/>
        </w:rPr>
      </w:pPr>
      <w:r>
        <w:rPr>
          <w:rFonts w:hint="cs"/>
          <w:b w:val="0"/>
          <w:bCs w:val="0"/>
          <w:u w:val="none"/>
          <w:rtl/>
        </w:rPr>
        <w:t xml:space="preserve">ב"כ נאשמים 1 ו </w:t>
      </w:r>
      <w:r>
        <w:rPr>
          <w:b w:val="0"/>
          <w:bCs w:val="0"/>
          <w:u w:val="none"/>
          <w:rtl/>
        </w:rPr>
        <w:t>–</w:t>
      </w:r>
      <w:r>
        <w:rPr>
          <w:rFonts w:hint="cs"/>
          <w:b w:val="0"/>
          <w:bCs w:val="0"/>
          <w:u w:val="none"/>
          <w:rtl/>
        </w:rPr>
        <w:t xml:space="preserve"> 2 </w:t>
      </w:r>
      <w:r w:rsidR="00C1469D">
        <w:rPr>
          <w:rFonts w:hint="cs"/>
          <w:b w:val="0"/>
          <w:bCs w:val="0"/>
          <w:u w:val="none"/>
          <w:rtl/>
        </w:rPr>
        <w:t xml:space="preserve">ב"כ עו"ד לירן זילברמן </w:t>
      </w:r>
      <w:r w:rsidR="00C82789">
        <w:rPr>
          <w:b w:val="0"/>
          <w:bCs w:val="0"/>
          <w:u w:val="none"/>
          <w:rtl/>
        </w:rPr>
        <w:tab/>
      </w:r>
    </w:p>
    <w:p w:rsidR="00754308" w:rsidRDefault="00754308" w:rsidP="00754308">
      <w:pPr>
        <w:pStyle w:val="12"/>
        <w:rPr>
          <w:b w:val="0"/>
          <w:bCs w:val="0"/>
          <w:u w:val="none"/>
          <w:rtl/>
        </w:rPr>
      </w:pPr>
      <w:r>
        <w:rPr>
          <w:rFonts w:hint="cs"/>
          <w:b w:val="0"/>
          <w:bCs w:val="0"/>
          <w:u w:val="none"/>
          <w:rtl/>
        </w:rPr>
        <w:t xml:space="preserve">נאשם 1 בעצמו </w:t>
      </w:r>
    </w:p>
    <w:p w:rsidR="0081159E" w:rsidRDefault="0081159E">
      <w:pPr>
        <w:pStyle w:val="12"/>
        <w:rPr>
          <w:b w:val="0"/>
          <w:bCs w:val="0"/>
          <w:u w:val="none"/>
          <w:rtl/>
        </w:rPr>
      </w:pPr>
    </w:p>
    <w:p w:rsidR="00C1469D" w:rsidRDefault="00C1469D" w:rsidP="00C1469D">
      <w:pPr>
        <w:pStyle w:val="af"/>
        <w:rPr>
          <w:sz w:val="6"/>
          <w:szCs w:val="6"/>
          <w:rtl/>
          <w:lang w:eastAsia="he-IL"/>
        </w:rPr>
      </w:pPr>
      <w:r>
        <w:rPr>
          <w:sz w:val="6"/>
          <w:szCs w:val="6"/>
          <w:rtl/>
          <w:lang w:eastAsia="he-IL"/>
        </w:rPr>
        <w:t>&lt;#3#&gt;</w:t>
      </w:r>
    </w:p>
    <w:p w:rsidR="00C1469D" w:rsidRDefault="00C1469D">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C1469D" w:rsidRPr="00C1469D" w:rsidRDefault="00C1469D" w:rsidP="00C1469D">
      <w:pPr>
        <w:pStyle w:val="af"/>
        <w:jc w:val="both"/>
        <w:rPr>
          <w:rFonts w:ascii="David" w:hAnsi="David" w:cs="David"/>
          <w:rtl/>
          <w:lang w:eastAsia="he-IL"/>
        </w:rPr>
      </w:pPr>
      <w:r>
        <w:rPr>
          <w:rFonts w:ascii="David" w:hAnsi="David" w:cs="David"/>
          <w:rtl/>
          <w:lang w:eastAsia="he-IL"/>
        </w:rPr>
        <w:t xml:space="preserve"> </w:t>
      </w:r>
    </w:p>
    <w:p w:rsidR="00C1469D" w:rsidRPr="00EE155B" w:rsidRDefault="00C1469D" w:rsidP="00C1469D">
      <w:pPr>
        <w:pStyle w:val="af"/>
        <w:rPr>
          <w:rFonts w:ascii="David" w:hAnsi="David" w:cs="David"/>
          <w:b/>
          <w:bCs/>
          <w:u w:val="single"/>
          <w:rtl/>
          <w:lang w:eastAsia="he-IL"/>
        </w:rPr>
      </w:pPr>
      <w:r>
        <w:rPr>
          <w:rFonts w:ascii="David" w:hAnsi="David" w:cs="David" w:hint="cs"/>
          <w:b/>
          <w:bCs/>
          <w:u w:val="single"/>
          <w:rtl/>
          <w:lang w:eastAsia="he-IL"/>
        </w:rPr>
        <w:t>רקע</w:t>
      </w:r>
    </w:p>
    <w:p w:rsidR="00C1469D" w:rsidRDefault="00C1469D" w:rsidP="00C1469D">
      <w:pPr>
        <w:pStyle w:val="af"/>
        <w:rPr>
          <w:rtl/>
          <w:lang w:eastAsia="he-IL"/>
        </w:rPr>
      </w:pPr>
    </w:p>
    <w:p w:rsidR="00C1469D" w:rsidRPr="00C711C4" w:rsidRDefault="00C1469D" w:rsidP="00C1469D">
      <w:pPr>
        <w:pStyle w:val="af0"/>
        <w:numPr>
          <w:ilvl w:val="0"/>
          <w:numId w:val="20"/>
        </w:numPr>
        <w:spacing w:after="120" w:line="360" w:lineRule="auto"/>
        <w:jc w:val="both"/>
        <w:rPr>
          <w:rFonts w:ascii="David" w:hAnsi="David" w:cs="David"/>
          <w:sz w:val="24"/>
          <w:szCs w:val="24"/>
        </w:rPr>
      </w:pPr>
      <w:r>
        <w:rPr>
          <w:rFonts w:ascii="David" w:hAnsi="David" w:cs="David" w:hint="cs"/>
          <w:sz w:val="24"/>
          <w:szCs w:val="24"/>
          <w:rtl/>
        </w:rPr>
        <w:t xml:space="preserve">עניינו של גזר דין זה הוא תרמית מס, המכונה קרוסלה, בסחר בזהב בהיקף של מאות מיליוני שקלים. </w:t>
      </w:r>
    </w:p>
    <w:p w:rsidR="00C1469D" w:rsidRPr="007A512D" w:rsidRDefault="00C1469D" w:rsidP="00C1469D">
      <w:pPr>
        <w:pStyle w:val="af0"/>
        <w:spacing w:after="120" w:line="360" w:lineRule="auto"/>
        <w:jc w:val="both"/>
        <w:rPr>
          <w:rFonts w:ascii="David" w:hAnsi="David" w:cs="David"/>
          <w:sz w:val="24"/>
          <w:szCs w:val="24"/>
        </w:rPr>
      </w:pPr>
      <w:r w:rsidRPr="007A512D">
        <w:rPr>
          <w:rFonts w:ascii="Times New Roman" w:hAnsi="Times New Roman" w:cs="David"/>
          <w:sz w:val="24"/>
          <w:szCs w:val="24"/>
          <w:rtl/>
        </w:rPr>
        <w:t>הנאש</w:t>
      </w:r>
      <w:r>
        <w:rPr>
          <w:rFonts w:ascii="Times New Roman" w:hAnsi="Times New Roman" w:cs="David" w:hint="cs"/>
          <w:sz w:val="24"/>
          <w:szCs w:val="24"/>
          <w:rtl/>
        </w:rPr>
        <w:t>מי</w:t>
      </w:r>
      <w:r w:rsidRPr="007A512D">
        <w:rPr>
          <w:rFonts w:ascii="Times New Roman" w:hAnsi="Times New Roman" w:cs="David"/>
          <w:sz w:val="24"/>
          <w:szCs w:val="24"/>
          <w:rtl/>
        </w:rPr>
        <w:t xml:space="preserve">ם </w:t>
      </w:r>
      <w:r>
        <w:rPr>
          <w:rFonts w:ascii="Times New Roman" w:hAnsi="Times New Roman" w:cs="David"/>
          <w:sz w:val="24"/>
          <w:szCs w:val="24"/>
          <w:rtl/>
        </w:rPr>
        <w:t>הורשע</w:t>
      </w:r>
      <w:r>
        <w:rPr>
          <w:rFonts w:ascii="Times New Roman" w:hAnsi="Times New Roman" w:cs="David" w:hint="cs"/>
          <w:sz w:val="24"/>
          <w:szCs w:val="24"/>
          <w:rtl/>
        </w:rPr>
        <w:t>ו</w:t>
      </w:r>
      <w:r>
        <w:rPr>
          <w:rFonts w:ascii="Times New Roman" w:hAnsi="Times New Roman" w:cs="David"/>
          <w:sz w:val="24"/>
          <w:szCs w:val="24"/>
          <w:rtl/>
        </w:rPr>
        <w:t xml:space="preserve"> בהתאם להודאת</w:t>
      </w:r>
      <w:r>
        <w:rPr>
          <w:rFonts w:ascii="Times New Roman" w:hAnsi="Times New Roman" w:cs="David" w:hint="cs"/>
          <w:sz w:val="24"/>
          <w:szCs w:val="24"/>
          <w:rtl/>
        </w:rPr>
        <w:t>ם</w:t>
      </w:r>
      <w:r>
        <w:rPr>
          <w:rFonts w:ascii="Times New Roman" w:hAnsi="Times New Roman" w:cs="David"/>
          <w:sz w:val="24"/>
          <w:szCs w:val="24"/>
          <w:rtl/>
        </w:rPr>
        <w:t xml:space="preserve"> בעובדות כתב </w:t>
      </w:r>
      <w:r>
        <w:rPr>
          <w:rFonts w:ascii="Times New Roman" w:hAnsi="Times New Roman" w:cs="David" w:hint="cs"/>
          <w:sz w:val="24"/>
          <w:szCs w:val="24"/>
          <w:rtl/>
        </w:rPr>
        <w:t>ה</w:t>
      </w:r>
      <w:r>
        <w:rPr>
          <w:rFonts w:ascii="Times New Roman" w:hAnsi="Times New Roman" w:cs="David"/>
          <w:sz w:val="24"/>
          <w:szCs w:val="24"/>
          <w:rtl/>
        </w:rPr>
        <w:t xml:space="preserve">אישום </w:t>
      </w:r>
      <w:r>
        <w:rPr>
          <w:rFonts w:ascii="Times New Roman" w:hAnsi="Times New Roman" w:cs="David" w:hint="cs"/>
          <w:sz w:val="24"/>
          <w:szCs w:val="24"/>
          <w:rtl/>
        </w:rPr>
        <w:t xml:space="preserve">המתוקן </w:t>
      </w:r>
      <w:r w:rsidRPr="007A512D">
        <w:rPr>
          <w:rFonts w:ascii="David" w:hAnsi="David" w:cs="David"/>
          <w:sz w:val="24"/>
          <w:szCs w:val="24"/>
          <w:rtl/>
        </w:rPr>
        <w:t>בעבירות כדלקמן:</w:t>
      </w:r>
    </w:p>
    <w:p w:rsidR="00C1469D" w:rsidRPr="005678A6" w:rsidRDefault="00C1469D" w:rsidP="00C1469D">
      <w:pPr>
        <w:spacing w:after="120" w:line="360" w:lineRule="auto"/>
        <w:ind w:left="709" w:hanging="141"/>
        <w:jc w:val="both"/>
      </w:pPr>
      <w:r w:rsidRPr="007A512D">
        <w:rPr>
          <w:rFonts w:hint="cs"/>
          <w:rtl/>
        </w:rPr>
        <w:t xml:space="preserve">   </w:t>
      </w:r>
      <w:r w:rsidRPr="007A512D">
        <w:rPr>
          <w:rFonts w:hint="cs"/>
          <w:u w:val="single"/>
          <w:rtl/>
        </w:rPr>
        <w:t>ב</w:t>
      </w:r>
      <w:r w:rsidRPr="007A512D">
        <w:rPr>
          <w:u w:val="single"/>
          <w:rtl/>
        </w:rPr>
        <w:t xml:space="preserve">אישום </w:t>
      </w:r>
      <w:r w:rsidRPr="007A512D">
        <w:rPr>
          <w:rFonts w:hint="cs"/>
          <w:u w:val="single"/>
          <w:rtl/>
        </w:rPr>
        <w:t>ה</w:t>
      </w:r>
      <w:r w:rsidRPr="007A512D">
        <w:rPr>
          <w:u w:val="single"/>
          <w:rtl/>
        </w:rPr>
        <w:t>ראשון</w:t>
      </w:r>
      <w:r w:rsidRPr="005678A6">
        <w:rPr>
          <w:rtl/>
        </w:rPr>
        <w:t xml:space="preserve">: </w:t>
      </w:r>
      <w:r w:rsidRPr="005678A6">
        <w:rPr>
          <w:b/>
          <w:bCs/>
          <w:rtl/>
        </w:rPr>
        <w:t>הוצאת חשבונית מס או מסמך הנחזה כחשבונית מס, מבלי לעשות או להתחייב לעשות עסקה שלגביה הוצאה חשבונית או את המסמך האמור, בנסיבות מחמירות</w:t>
      </w:r>
      <w:r w:rsidRPr="005678A6">
        <w:rPr>
          <w:rtl/>
        </w:rPr>
        <w:t xml:space="preserve"> </w:t>
      </w:r>
      <w:r w:rsidRPr="005678A6">
        <w:rPr>
          <w:rFonts w:hint="cs"/>
          <w:rtl/>
        </w:rPr>
        <w:t>(ריבוי עבירות),</w:t>
      </w:r>
      <w:r w:rsidRPr="005678A6">
        <w:rPr>
          <w:rtl/>
        </w:rPr>
        <w:t xml:space="preserve"> לפי סעיף 117(ב)(3) לחוק מס ערך מוסף (להלן: </w:t>
      </w:r>
      <w:r w:rsidRPr="00C711C4">
        <w:rPr>
          <w:b/>
          <w:bCs/>
          <w:rtl/>
        </w:rPr>
        <w:t>החוק</w:t>
      </w:r>
      <w:r w:rsidRPr="005678A6">
        <w:rPr>
          <w:rtl/>
        </w:rPr>
        <w:t>) ביחד עם סעיף 117(ב2)(2) ו-117(ב2)(3) לחוק ביחד עם סעיף 29(א) לחוק העונשין</w:t>
      </w:r>
      <w:r w:rsidRPr="005678A6">
        <w:rPr>
          <w:rFonts w:hint="cs"/>
          <w:rtl/>
        </w:rPr>
        <w:t xml:space="preserve">; </w:t>
      </w:r>
      <w:r w:rsidRPr="005678A6">
        <w:rPr>
          <w:b/>
          <w:bCs/>
          <w:rtl/>
        </w:rPr>
        <w:t>ניכוי מס תשומות מבלי שיש לגביו מסמך</w:t>
      </w:r>
      <w:r w:rsidRPr="005678A6">
        <w:rPr>
          <w:rFonts w:hint="cs"/>
          <w:b/>
          <w:bCs/>
          <w:rtl/>
        </w:rPr>
        <w:t>,</w:t>
      </w:r>
      <w:r w:rsidRPr="005678A6">
        <w:rPr>
          <w:b/>
          <w:bCs/>
          <w:rtl/>
        </w:rPr>
        <w:t xml:space="preserve"> לפי סעיף 38 לחוק, וזאת במטרה להתחמק או להשתמט מתשלום מס בנסיבות מחמירות</w:t>
      </w:r>
      <w:r w:rsidRPr="005678A6">
        <w:rPr>
          <w:rFonts w:hint="cs"/>
          <w:rtl/>
        </w:rPr>
        <w:t xml:space="preserve"> (ריבוי עבירות),</w:t>
      </w:r>
      <w:r w:rsidRPr="005678A6">
        <w:rPr>
          <w:rtl/>
        </w:rPr>
        <w:t xml:space="preserve"> לפי סעיף 117(ב)(5) לחוק ביחד עם סעיף 117(ב2)(2) ו-117(ב2)(3) לחוק</w:t>
      </w:r>
      <w:r w:rsidRPr="005678A6">
        <w:rPr>
          <w:rFonts w:hint="cs"/>
          <w:rtl/>
        </w:rPr>
        <w:t xml:space="preserve">; </w:t>
      </w:r>
      <w:r w:rsidRPr="005678A6">
        <w:rPr>
          <w:b/>
          <w:bCs/>
          <w:rtl/>
        </w:rPr>
        <w:t>הכנה, ניהול או הרשאה לאחר להכין או לנהל פנקסי חשבונות כוזבים או רשומות אחרות כוזבות, וזאת במטרה להתחמק מתשלום מס בנסיבות מחמירות</w:t>
      </w:r>
      <w:r w:rsidRPr="005678A6">
        <w:rPr>
          <w:rFonts w:hint="cs"/>
          <w:rtl/>
        </w:rPr>
        <w:t xml:space="preserve"> (ריבוי עבירות),</w:t>
      </w:r>
      <w:r w:rsidRPr="005678A6">
        <w:rPr>
          <w:rtl/>
        </w:rPr>
        <w:t xml:space="preserve"> </w:t>
      </w:r>
      <w:r w:rsidRPr="005678A6">
        <w:rPr>
          <w:rFonts w:hint="cs"/>
          <w:rtl/>
        </w:rPr>
        <w:t>לפי</w:t>
      </w:r>
      <w:r w:rsidRPr="005678A6">
        <w:rPr>
          <w:rtl/>
        </w:rPr>
        <w:t xml:space="preserve"> סעיף 117(ב)(6) ביחד עם סעיף 117(ב2)(2) ו-117(ב2)(3) לחוק</w:t>
      </w:r>
      <w:r w:rsidRPr="005678A6">
        <w:rPr>
          <w:rFonts w:hint="cs"/>
          <w:rtl/>
        </w:rPr>
        <w:t xml:space="preserve">; </w:t>
      </w:r>
      <w:r w:rsidRPr="005678A6">
        <w:rPr>
          <w:b/>
          <w:bCs/>
          <w:rtl/>
        </w:rPr>
        <w:t>שימוש במרמה או תחבולה במטרה להתחמק מתשלום מס בנסיבות מחמירות</w:t>
      </w:r>
      <w:r w:rsidRPr="005678A6">
        <w:rPr>
          <w:rFonts w:hint="cs"/>
          <w:rtl/>
        </w:rPr>
        <w:t xml:space="preserve"> (ריבוי עבירות), </w:t>
      </w:r>
      <w:r w:rsidRPr="005678A6">
        <w:rPr>
          <w:rtl/>
        </w:rPr>
        <w:t xml:space="preserve">לפי סעיף </w:t>
      </w:r>
      <w:r w:rsidRPr="005678A6">
        <w:rPr>
          <w:rtl/>
        </w:rPr>
        <w:lastRenderedPageBreak/>
        <w:t>117(ב)(8) לחוק ביחד עם סעיף 117(ב2)(2) ו-117(ב2)(3) לחוק</w:t>
      </w:r>
      <w:r w:rsidRPr="005678A6">
        <w:rPr>
          <w:rFonts w:hint="cs"/>
          <w:rtl/>
        </w:rPr>
        <w:t xml:space="preserve">; </w:t>
      </w:r>
      <w:r w:rsidRPr="005678A6">
        <w:rPr>
          <w:b/>
          <w:bCs/>
          <w:rtl/>
        </w:rPr>
        <w:t>הכנה וקיום פנקסי חשבונות ורשומות כוזבים במטרה להתחמק ממס</w:t>
      </w:r>
      <w:r w:rsidRPr="005678A6">
        <w:rPr>
          <w:rFonts w:hint="cs"/>
          <w:rtl/>
        </w:rPr>
        <w:t xml:space="preserve"> (ריבוי עבירות),</w:t>
      </w:r>
      <w:r w:rsidRPr="005678A6">
        <w:rPr>
          <w:rtl/>
        </w:rPr>
        <w:t xml:space="preserve"> לפי סעיף 220(4) לפקודת מס הכנסה (להלן: </w:t>
      </w:r>
      <w:r w:rsidRPr="00C711C4">
        <w:rPr>
          <w:b/>
          <w:bCs/>
          <w:rtl/>
        </w:rPr>
        <w:t>הפקודה</w:t>
      </w:r>
      <w:r w:rsidRPr="005678A6">
        <w:rPr>
          <w:rtl/>
        </w:rPr>
        <w:t>)</w:t>
      </w:r>
      <w:r w:rsidRPr="005678A6">
        <w:rPr>
          <w:rFonts w:hint="cs"/>
          <w:rtl/>
        </w:rPr>
        <w:t xml:space="preserve">; </w:t>
      </w:r>
      <w:r w:rsidRPr="005678A6">
        <w:rPr>
          <w:b/>
          <w:bCs/>
          <w:rtl/>
        </w:rPr>
        <w:t>שימוש במרמה עורמה ותחבולה במטרה להתחמק ממס</w:t>
      </w:r>
      <w:r w:rsidRPr="005678A6">
        <w:rPr>
          <w:rFonts w:hint="cs"/>
          <w:rtl/>
        </w:rPr>
        <w:t xml:space="preserve"> (ריבוי עבירות), </w:t>
      </w:r>
      <w:r w:rsidRPr="005678A6">
        <w:rPr>
          <w:rtl/>
        </w:rPr>
        <w:t xml:space="preserve">לפי סעיף 220(5) לפקודה. </w:t>
      </w:r>
    </w:p>
    <w:p w:rsidR="00C1469D" w:rsidRPr="007A512D" w:rsidRDefault="00C1469D" w:rsidP="00C1469D">
      <w:pPr>
        <w:spacing w:after="120" w:line="360" w:lineRule="auto"/>
        <w:ind w:left="709" w:hanging="141"/>
        <w:jc w:val="both"/>
        <w:rPr>
          <w:rtl/>
        </w:rPr>
      </w:pPr>
      <w:r w:rsidRPr="005678A6">
        <w:rPr>
          <w:rFonts w:hint="cs"/>
          <w:rtl/>
        </w:rPr>
        <w:t xml:space="preserve">   </w:t>
      </w:r>
      <w:r w:rsidRPr="007A512D">
        <w:rPr>
          <w:rFonts w:hint="cs"/>
          <w:u w:val="single"/>
          <w:rtl/>
        </w:rPr>
        <w:t>ב</w:t>
      </w:r>
      <w:r w:rsidRPr="007A512D">
        <w:rPr>
          <w:u w:val="single"/>
          <w:rtl/>
        </w:rPr>
        <w:t xml:space="preserve">אישום </w:t>
      </w:r>
      <w:r w:rsidRPr="007A512D">
        <w:rPr>
          <w:rFonts w:hint="cs"/>
          <w:u w:val="single"/>
          <w:rtl/>
        </w:rPr>
        <w:t>ה</w:t>
      </w:r>
      <w:r w:rsidRPr="007A512D">
        <w:rPr>
          <w:u w:val="single"/>
          <w:rtl/>
        </w:rPr>
        <w:t>שני</w:t>
      </w:r>
      <w:r w:rsidRPr="005678A6">
        <w:rPr>
          <w:rtl/>
        </w:rPr>
        <w:t>:</w:t>
      </w:r>
      <w:r>
        <w:rPr>
          <w:rFonts w:hint="cs"/>
          <w:rtl/>
        </w:rPr>
        <w:t xml:space="preserve"> </w:t>
      </w:r>
      <w:r w:rsidRPr="007A512D">
        <w:rPr>
          <w:b/>
          <w:bCs/>
          <w:rtl/>
        </w:rPr>
        <w:t>פעולה ברכוש אסור במטרה למנוע דיווח</w:t>
      </w:r>
      <w:r w:rsidRPr="007A512D">
        <w:rPr>
          <w:rtl/>
        </w:rPr>
        <w:t xml:space="preserve"> </w:t>
      </w:r>
      <w:r>
        <w:rPr>
          <w:rFonts w:hint="cs"/>
          <w:rtl/>
        </w:rPr>
        <w:t xml:space="preserve">(2 עבירות), </w:t>
      </w:r>
      <w:r w:rsidRPr="007A512D">
        <w:rPr>
          <w:rtl/>
        </w:rPr>
        <w:t xml:space="preserve">לפי סעיף 3(ב)(1) לחוק </w:t>
      </w:r>
      <w:r>
        <w:rPr>
          <w:rFonts w:hint="cs"/>
          <w:rtl/>
        </w:rPr>
        <w:t xml:space="preserve">    </w:t>
      </w:r>
      <w:r w:rsidRPr="007A512D">
        <w:rPr>
          <w:rtl/>
        </w:rPr>
        <w:t xml:space="preserve">איסור הלבנת הון. </w:t>
      </w:r>
    </w:p>
    <w:p w:rsidR="00C1469D" w:rsidRPr="007A512D" w:rsidRDefault="00C1469D" w:rsidP="00C1469D">
      <w:pPr>
        <w:spacing w:after="120" w:line="360" w:lineRule="auto"/>
        <w:ind w:left="709"/>
        <w:jc w:val="both"/>
        <w:rPr>
          <w:rtl/>
        </w:rPr>
      </w:pPr>
      <w:r w:rsidRPr="007A512D">
        <w:rPr>
          <w:rFonts w:hint="cs"/>
          <w:u w:val="single"/>
          <w:rtl/>
        </w:rPr>
        <w:t>ב</w:t>
      </w:r>
      <w:r w:rsidRPr="007A512D">
        <w:rPr>
          <w:u w:val="single"/>
          <w:rtl/>
        </w:rPr>
        <w:t xml:space="preserve">אישום </w:t>
      </w:r>
      <w:r w:rsidRPr="007A512D">
        <w:rPr>
          <w:rFonts w:hint="cs"/>
          <w:u w:val="single"/>
          <w:rtl/>
        </w:rPr>
        <w:t>ה</w:t>
      </w:r>
      <w:r w:rsidRPr="007A512D">
        <w:rPr>
          <w:u w:val="single"/>
          <w:rtl/>
        </w:rPr>
        <w:t>שלישי</w:t>
      </w:r>
      <w:r w:rsidRPr="005678A6">
        <w:rPr>
          <w:rtl/>
        </w:rPr>
        <w:t xml:space="preserve">: </w:t>
      </w:r>
      <w:r w:rsidRPr="007A512D">
        <w:rPr>
          <w:b/>
          <w:bCs/>
          <w:rtl/>
        </w:rPr>
        <w:t>הברחת טובין</w:t>
      </w:r>
      <w:r>
        <w:rPr>
          <w:rFonts w:hint="cs"/>
          <w:rtl/>
        </w:rPr>
        <w:t xml:space="preserve">, </w:t>
      </w:r>
      <w:r w:rsidRPr="007A512D">
        <w:rPr>
          <w:rtl/>
        </w:rPr>
        <w:t>עבירה לפי סעיף 211</w:t>
      </w:r>
      <w:r>
        <w:rPr>
          <w:rFonts w:hint="cs"/>
          <w:rtl/>
        </w:rPr>
        <w:t>(א)</w:t>
      </w:r>
      <w:r w:rsidRPr="007A512D">
        <w:rPr>
          <w:rtl/>
        </w:rPr>
        <w:t>(1) לפקודת המכס [נוסח חדש] ביחד עם סעיף 211(א1)</w:t>
      </w:r>
      <w:r>
        <w:rPr>
          <w:rFonts w:hint="cs"/>
          <w:rtl/>
        </w:rPr>
        <w:t xml:space="preserve">; </w:t>
      </w:r>
      <w:r w:rsidRPr="007A512D">
        <w:rPr>
          <w:b/>
          <w:bCs/>
          <w:rtl/>
        </w:rPr>
        <w:t>מרמה ערמה ותחבולה בכוונה להתחמק מתשלום מס ערך מוסף בנסיבות מחמירות</w:t>
      </w:r>
      <w:r>
        <w:rPr>
          <w:rFonts w:hint="cs"/>
          <w:rtl/>
        </w:rPr>
        <w:t>,</w:t>
      </w:r>
      <w:r w:rsidRPr="007A512D">
        <w:rPr>
          <w:rtl/>
        </w:rPr>
        <w:t xml:space="preserve"> עבירה לפי סעיף 117(ב)(8) לחוק ביחד עם סעיף 117(ב2)(3). </w:t>
      </w:r>
    </w:p>
    <w:p w:rsidR="00C1469D" w:rsidRDefault="00C1469D" w:rsidP="00C1469D">
      <w:pPr>
        <w:pStyle w:val="af0"/>
        <w:numPr>
          <w:ilvl w:val="0"/>
          <w:numId w:val="20"/>
        </w:numPr>
        <w:spacing w:after="120" w:line="360" w:lineRule="auto"/>
        <w:ind w:left="707" w:hanging="425"/>
        <w:jc w:val="both"/>
        <w:rPr>
          <w:rFonts w:ascii="Times New Roman" w:hAnsi="Times New Roman" w:cs="David"/>
          <w:sz w:val="24"/>
          <w:szCs w:val="24"/>
        </w:rPr>
      </w:pPr>
      <w:r w:rsidRPr="00B47775">
        <w:rPr>
          <w:rFonts w:ascii="Times New Roman" w:hAnsi="Times New Roman" w:cs="David"/>
          <w:sz w:val="24"/>
          <w:szCs w:val="24"/>
          <w:rtl/>
        </w:rPr>
        <w:t>על-פי המתואר בעובדות כתב האישום</w:t>
      </w:r>
      <w:r w:rsidRPr="00B47775">
        <w:rPr>
          <w:rFonts w:ascii="Times New Roman" w:hAnsi="Times New Roman" w:cs="David" w:hint="cs"/>
          <w:sz w:val="24"/>
          <w:szCs w:val="24"/>
          <w:rtl/>
        </w:rPr>
        <w:t xml:space="preserve"> המתוקן</w:t>
      </w:r>
      <w:r>
        <w:rPr>
          <w:rFonts w:ascii="Times New Roman" w:hAnsi="Times New Roman" w:cs="David" w:hint="cs"/>
          <w:sz w:val="24"/>
          <w:szCs w:val="24"/>
          <w:rtl/>
        </w:rPr>
        <w:t>,</w:t>
      </w:r>
      <w:r w:rsidRPr="00B47775">
        <w:rPr>
          <w:rFonts w:ascii="Times New Roman" w:hAnsi="Times New Roman" w:cs="David" w:hint="cs"/>
          <w:sz w:val="24"/>
          <w:szCs w:val="24"/>
          <w:rtl/>
        </w:rPr>
        <w:t xml:space="preserve"> </w:t>
      </w:r>
      <w:r>
        <w:rPr>
          <w:rFonts w:ascii="Times New Roman" w:hAnsi="Times New Roman" w:cs="David" w:hint="cs"/>
          <w:sz w:val="24"/>
          <w:szCs w:val="24"/>
          <w:rtl/>
        </w:rPr>
        <w:t xml:space="preserve">הנאשם 1 (להלן: </w:t>
      </w:r>
      <w:r w:rsidRPr="00C711C4">
        <w:rPr>
          <w:rFonts w:ascii="Times New Roman" w:hAnsi="Times New Roman" w:cs="David" w:hint="cs"/>
          <w:b/>
          <w:bCs/>
          <w:sz w:val="24"/>
          <w:szCs w:val="24"/>
          <w:rtl/>
        </w:rPr>
        <w:t>הנאשם</w:t>
      </w:r>
      <w:r>
        <w:rPr>
          <w:rFonts w:ascii="Times New Roman" w:hAnsi="Times New Roman" w:cs="David" w:hint="cs"/>
          <w:sz w:val="24"/>
          <w:szCs w:val="24"/>
          <w:rtl/>
        </w:rPr>
        <w:t xml:space="preserve">) הוא הבעלים הרשום והמנהל הפעיל של הנאשמת, ח.ש. פרוינד בע"מ, שהינה חברה פרטית מוגבלת במניות ורשומה כעוסק מורשה (להלן: </w:t>
      </w:r>
      <w:r w:rsidRPr="007A512D">
        <w:rPr>
          <w:rFonts w:ascii="Times New Roman" w:hAnsi="Times New Roman" w:cs="David" w:hint="cs"/>
          <w:b/>
          <w:bCs/>
          <w:sz w:val="24"/>
          <w:szCs w:val="24"/>
          <w:rtl/>
        </w:rPr>
        <w:t>החברה</w:t>
      </w:r>
      <w:r>
        <w:rPr>
          <w:rFonts w:ascii="Times New Roman" w:hAnsi="Times New Roman" w:cs="David" w:hint="cs"/>
          <w:b/>
          <w:bCs/>
          <w:sz w:val="24"/>
          <w:szCs w:val="24"/>
          <w:rtl/>
        </w:rPr>
        <w:t xml:space="preserve"> או הנאשמת</w:t>
      </w:r>
      <w:r>
        <w:rPr>
          <w:rFonts w:ascii="Times New Roman" w:hAnsi="Times New Roman" w:cs="David" w:hint="cs"/>
          <w:sz w:val="24"/>
          <w:szCs w:val="24"/>
          <w:rtl/>
        </w:rPr>
        <w:t xml:space="preserve">), החברה עוסקת בסחר בזהב.  בנוסף ניהל הנאשם ביחד עם רעייתו חנות לממכר תכשיטים, ופעילות החנות נרשמה בספרי החברה ופעלה במסגרתה. התקופה הרלוונטית לביצוע העבירות היא בין השנים 2016 ל-2017. </w:t>
      </w:r>
    </w:p>
    <w:p w:rsidR="00C1469D" w:rsidRDefault="00C1469D" w:rsidP="00C1469D">
      <w:pPr>
        <w:pStyle w:val="af0"/>
        <w:spacing w:after="120" w:line="360" w:lineRule="auto"/>
        <w:ind w:left="707"/>
        <w:jc w:val="both"/>
        <w:rPr>
          <w:rFonts w:ascii="Times New Roman" w:hAnsi="Times New Roman" w:cs="David"/>
          <w:sz w:val="24"/>
          <w:szCs w:val="24"/>
          <w:rtl/>
        </w:rPr>
      </w:pPr>
      <w:r>
        <w:rPr>
          <w:rFonts w:ascii="Times New Roman" w:hAnsi="Times New Roman" w:cs="David" w:hint="cs"/>
          <w:sz w:val="24"/>
          <w:szCs w:val="24"/>
          <w:rtl/>
        </w:rPr>
        <w:t xml:space="preserve">תרמית קרוסלה </w:t>
      </w:r>
      <w:r>
        <w:rPr>
          <w:rFonts w:ascii="Times New Roman" w:hAnsi="Times New Roman" w:cs="David"/>
          <w:sz w:val="24"/>
          <w:szCs w:val="24"/>
          <w:rtl/>
        </w:rPr>
        <w:t>–</w:t>
      </w:r>
      <w:r>
        <w:rPr>
          <w:rFonts w:ascii="Times New Roman" w:hAnsi="Times New Roman" w:cs="David" w:hint="cs"/>
          <w:sz w:val="24"/>
          <w:szCs w:val="24"/>
          <w:rtl/>
        </w:rPr>
        <w:t xml:space="preserve"> </w:t>
      </w:r>
      <w:r>
        <w:rPr>
          <w:rFonts w:ascii="Times New Roman" w:hAnsi="Times New Roman" w:cs="David"/>
          <w:sz w:val="24"/>
          <w:szCs w:val="24"/>
        </w:rPr>
        <w:t xml:space="preserve"> VAT Carousel Fraud</w:t>
      </w:r>
      <w:r>
        <w:rPr>
          <w:rFonts w:ascii="Times New Roman" w:hAnsi="Times New Roman" w:cs="David" w:hint="cs"/>
          <w:sz w:val="24"/>
          <w:szCs w:val="24"/>
        </w:rPr>
        <w:t xml:space="preserve"> </w:t>
      </w:r>
      <w:r>
        <w:rPr>
          <w:rFonts w:ascii="Times New Roman" w:hAnsi="Times New Roman" w:cs="David"/>
          <w:sz w:val="24"/>
          <w:szCs w:val="24"/>
          <w:rtl/>
        </w:rPr>
        <w:t>–</w:t>
      </w:r>
      <w:r>
        <w:rPr>
          <w:rFonts w:ascii="Times New Roman" w:hAnsi="Times New Roman" w:cs="David" w:hint="cs"/>
          <w:sz w:val="24"/>
          <w:szCs w:val="24"/>
          <w:rtl/>
        </w:rPr>
        <w:t xml:space="preserve"> היא גניבת כספי מע"מ באמצעות שרשור מסחר בין חברות, שמייבאות סחורה למדינה מבלי ששולם עליה המע"מ. לאחר מכן, החברות מוסיפות את הערך המוסף לערך המכירה ובסופו של דבר מזדכות עליו מבלי שהוא שולם למדינה מלכתחילה. במקרים רבים התרמיל כוללת השבת המוצרים שוב ושוב חזרה למדינה, מתוך כוונה להמשיך ו"לשאוב" את כספי המע"מ. התנועה הסיבובית של המוצרים היא מקור השם "קרוסלה". </w:t>
      </w:r>
    </w:p>
    <w:p w:rsidR="00C1469D" w:rsidRDefault="00C1469D" w:rsidP="00C1469D">
      <w:pPr>
        <w:pStyle w:val="af0"/>
        <w:spacing w:after="120" w:line="360" w:lineRule="auto"/>
        <w:ind w:left="707"/>
        <w:jc w:val="both"/>
        <w:rPr>
          <w:rFonts w:ascii="Times New Roman" w:hAnsi="Times New Roman" w:cs="David"/>
          <w:sz w:val="24"/>
          <w:szCs w:val="24"/>
        </w:rPr>
      </w:pPr>
      <w:r>
        <w:rPr>
          <w:rFonts w:ascii="Times New Roman" w:hAnsi="Times New Roman" w:cs="David" w:hint="cs"/>
          <w:sz w:val="24"/>
          <w:szCs w:val="24"/>
          <w:rtl/>
        </w:rPr>
        <w:t xml:space="preserve">על פי כתב האישום, הנאשמים ואחרים היו מעורבים במהלך התקופה הרלוונטית בהונאת מע"מ באופן הבא: הנאשמים רכשו מהנאשם 5 זהב ללא תיעוד שמקורו בין היתר משטחי הרשות הפלסטינית (להלן: </w:t>
      </w:r>
      <w:r w:rsidRPr="007A512D">
        <w:rPr>
          <w:rFonts w:ascii="Times New Roman" w:hAnsi="Times New Roman" w:cs="David" w:hint="cs"/>
          <w:b/>
          <w:bCs/>
          <w:sz w:val="24"/>
          <w:szCs w:val="24"/>
          <w:rtl/>
        </w:rPr>
        <w:t>הזהב השחור</w:t>
      </w:r>
      <w:r>
        <w:rPr>
          <w:rFonts w:ascii="Times New Roman" w:hAnsi="Times New Roman" w:cs="David" w:hint="cs"/>
          <w:sz w:val="24"/>
          <w:szCs w:val="24"/>
          <w:rtl/>
        </w:rPr>
        <w:t xml:space="preserve">), וזאת במזומן ללא כל דווח לרשויות המס. הנאשמים דאגו לכיסוי רכישת הזהב השחור באמצעות חשבוניות כוזבות שקיבלו מהנאשם 2 וניכו אותן בספרי הנאשמת. הנאשמים שילמו תמורת החשבוניות לנאשם 2 כאחוז משווי העסקאות.  </w:t>
      </w:r>
    </w:p>
    <w:p w:rsidR="00C1469D" w:rsidRDefault="00C1469D" w:rsidP="00C1469D">
      <w:pPr>
        <w:pStyle w:val="af0"/>
        <w:spacing w:after="120" w:line="360" w:lineRule="auto"/>
        <w:ind w:left="707"/>
        <w:jc w:val="both"/>
        <w:rPr>
          <w:rFonts w:ascii="Times New Roman" w:hAnsi="Times New Roman" w:cs="David"/>
          <w:sz w:val="24"/>
          <w:szCs w:val="24"/>
          <w:rtl/>
        </w:rPr>
      </w:pPr>
      <w:r>
        <w:rPr>
          <w:rFonts w:ascii="Times New Roman" w:hAnsi="Times New Roman" w:cs="David" w:hint="cs"/>
          <w:sz w:val="24"/>
          <w:szCs w:val="24"/>
          <w:rtl/>
        </w:rPr>
        <w:t xml:space="preserve">למרות שהנאשמים רכשו את הזהב במחיר גבוה ממחיר </w:t>
      </w:r>
      <w:proofErr w:type="spellStart"/>
      <w:r>
        <w:rPr>
          <w:rFonts w:ascii="Times New Roman" w:hAnsi="Times New Roman" w:cs="David" w:hint="cs"/>
          <w:sz w:val="24"/>
          <w:szCs w:val="24"/>
          <w:rtl/>
        </w:rPr>
        <w:t>הפיקס</w:t>
      </w:r>
      <w:proofErr w:type="spellEnd"/>
      <w:r>
        <w:rPr>
          <w:rFonts w:ascii="Times New Roman" w:hAnsi="Times New Roman" w:cs="David" w:hint="cs"/>
          <w:sz w:val="24"/>
          <w:szCs w:val="24"/>
          <w:rtl/>
        </w:rPr>
        <w:t xml:space="preserve">, שילמו לנאשם 2 אחוז ממחיר העסקאות, הם מכרו את הזהב השחור במחיר הנמוך ממחיר </w:t>
      </w:r>
      <w:proofErr w:type="spellStart"/>
      <w:r>
        <w:rPr>
          <w:rFonts w:ascii="Times New Roman" w:hAnsi="Times New Roman" w:cs="David" w:hint="cs"/>
          <w:sz w:val="24"/>
          <w:szCs w:val="24"/>
          <w:rtl/>
        </w:rPr>
        <w:t>הפיקס</w:t>
      </w:r>
      <w:proofErr w:type="spellEnd"/>
      <w:r>
        <w:rPr>
          <w:rFonts w:ascii="Times New Roman" w:hAnsi="Times New Roman" w:cs="David" w:hint="cs"/>
          <w:sz w:val="24"/>
          <w:szCs w:val="24"/>
          <w:rtl/>
        </w:rPr>
        <w:t xml:space="preserve"> בכ-3%-4% ללקוחות שונים ביניהם יצואני זהב. לאחר קבלת התשלום מלקוחותיהם, העבירו הנאשמים את הכסף בהעברה בנקאית או בהמחאות לחברה העוסקת בשירותים פיננסיים, אשר המירה את הכסף </w:t>
      </w:r>
      <w:r>
        <w:rPr>
          <w:rFonts w:ascii="Times New Roman" w:hAnsi="Times New Roman" w:cs="David" w:hint="cs"/>
          <w:sz w:val="24"/>
          <w:szCs w:val="24"/>
          <w:rtl/>
        </w:rPr>
        <w:lastRenderedPageBreak/>
        <w:t xml:space="preserve">בחלקו למט"ח, פרטה את הכסף למזומן והעבירה אותו לנאשם או למי מטעמו. בתמורה גבתה עמלה. הנאשמים קיזזו בספרי הנאשמת במרמה את המע"מ שלכאורה שילמו לנאשם 2 ולחברה שבבעלותו וקיבלו את תמורתו מלקוחותיהם היצואנים ובכך הושלמה הונאת המע"מ. הנאשמים הותירו בידיהם רווח שמקורו בפער שבין החזר המע"מ שקיבלו מהמדינה לבין סך רווחיהם של שאר שותפיהם להונאה. </w:t>
      </w:r>
    </w:p>
    <w:p w:rsidR="00C1469D" w:rsidRDefault="00C1469D" w:rsidP="00C1469D">
      <w:pPr>
        <w:pStyle w:val="af0"/>
        <w:spacing w:after="120" w:line="360" w:lineRule="auto"/>
        <w:ind w:left="707"/>
        <w:jc w:val="both"/>
        <w:rPr>
          <w:rFonts w:ascii="Times New Roman" w:hAnsi="Times New Roman" w:cs="David"/>
          <w:sz w:val="24"/>
          <w:szCs w:val="24"/>
          <w:rtl/>
        </w:rPr>
      </w:pPr>
      <w:r>
        <w:rPr>
          <w:rFonts w:ascii="Times New Roman" w:hAnsi="Times New Roman" w:cs="David" w:hint="cs"/>
          <w:sz w:val="24"/>
          <w:szCs w:val="24"/>
          <w:rtl/>
        </w:rPr>
        <w:t xml:space="preserve">ביום 6.4.17 פורסם ברשומות תיקון לתקנה 6ז' לתקנות מס ערך מוסף, וזאת כדי להילחם בתופעת החשבוניות הכוזבות. על פי התיקון (שנכנס לתוקף ביום 6.5.17) החבות במס תועבר מהמוכר לקונה, אשר בהיותו עוסק יוציא במקום המוכר חשבונית ערוכה על שמו וידווח על מס העסקאות הכלול בה. במקביל המס הכלול בחשבונית יהא ניתן לניכוי בידי העוסק (הקונה) בהתאם לתנאים הקבועים בחוק. </w:t>
      </w:r>
    </w:p>
    <w:p w:rsidR="00C1469D" w:rsidRDefault="00C1469D" w:rsidP="00C1469D">
      <w:pPr>
        <w:pStyle w:val="af0"/>
        <w:spacing w:after="120" w:line="360" w:lineRule="auto"/>
        <w:ind w:left="707"/>
        <w:jc w:val="both"/>
        <w:rPr>
          <w:rFonts w:ascii="Times New Roman" w:hAnsi="Times New Roman" w:cs="David"/>
          <w:sz w:val="24"/>
          <w:szCs w:val="24"/>
          <w:rtl/>
        </w:rPr>
      </w:pPr>
      <w:r>
        <w:rPr>
          <w:rFonts w:ascii="Times New Roman" w:hAnsi="Times New Roman" w:cs="David" w:hint="cs"/>
          <w:sz w:val="24"/>
          <w:szCs w:val="24"/>
          <w:rtl/>
        </w:rPr>
        <w:t xml:space="preserve">ביום 26.6.17 פרסמה רשות המיסים פרשנות לתקנה, לפיה התקנה חלה על זהב בצורתו הגולמית, זהב מעובד חלקית, מטבעות זהב ותכשיטי זהב שמטרת רכישתם היא לצורך שימוש בתכולת הזהב שלהם כחומר גלם ולא למכירתם כצורתם בעת הרכישה. לאחר פרסום הפרשנות לעיל, הנאשמים שינו את שיטתם ממסחר במטילי זהב ובזהב לא מעובד למסחר בזהב המעוצב כתכשיטים בעיבוד קל, לשם כך אחרים ספקו לנאשמים זהב בצורת תכשיטים בעיבוד קל והנאשם 2 סיפק חשבוניות בהתאם. בנוסף שינו הנאשמים את יעד הייצוא מבלגיה לסינגפור כל זאת במטרה לעקוף את התקנה. </w:t>
      </w:r>
    </w:p>
    <w:p w:rsidR="00C1469D" w:rsidRPr="00C711C4" w:rsidRDefault="00C1469D" w:rsidP="00C1469D">
      <w:pPr>
        <w:pStyle w:val="af0"/>
        <w:spacing w:after="120" w:line="360" w:lineRule="auto"/>
        <w:ind w:left="707"/>
        <w:jc w:val="both"/>
        <w:rPr>
          <w:rFonts w:ascii="Times New Roman" w:hAnsi="Times New Roman" w:cs="David"/>
          <w:b/>
          <w:bCs/>
          <w:sz w:val="24"/>
          <w:szCs w:val="24"/>
          <w:rtl/>
        </w:rPr>
      </w:pPr>
      <w:r w:rsidRPr="00C711C4">
        <w:rPr>
          <w:rFonts w:ascii="Times New Roman" w:hAnsi="Times New Roman" w:cs="David" w:hint="cs"/>
          <w:b/>
          <w:bCs/>
          <w:sz w:val="24"/>
          <w:szCs w:val="24"/>
          <w:rtl/>
        </w:rPr>
        <w:t xml:space="preserve">בתקופה הרלוונטית שווי הזהב השחור בו סחרו הנאשמים במסגרת התרמית כמתואר עמד על לא פחות מסך של 503,680,562 ₪. סכום המע"מ שנגזל מהקופה הציבורית עומד </w:t>
      </w:r>
      <w:r>
        <w:rPr>
          <w:rFonts w:ascii="Times New Roman" w:hAnsi="Times New Roman" w:cs="David" w:hint="cs"/>
          <w:b/>
          <w:bCs/>
          <w:sz w:val="24"/>
          <w:szCs w:val="24"/>
          <w:rtl/>
        </w:rPr>
        <w:t>על לא פחות מסך של 73,184,360 ₪.</w:t>
      </w:r>
    </w:p>
    <w:p w:rsidR="00C1469D" w:rsidRDefault="00C1469D" w:rsidP="00C1469D">
      <w:pPr>
        <w:pStyle w:val="af0"/>
        <w:spacing w:after="120" w:line="360" w:lineRule="auto"/>
        <w:ind w:left="707"/>
        <w:jc w:val="both"/>
        <w:rPr>
          <w:rFonts w:ascii="Times New Roman" w:hAnsi="Times New Roman" w:cs="David"/>
          <w:sz w:val="24"/>
          <w:szCs w:val="24"/>
          <w:rtl/>
        </w:rPr>
      </w:pPr>
      <w:r>
        <w:rPr>
          <w:rFonts w:ascii="Times New Roman" w:hAnsi="Times New Roman" w:cs="David" w:hint="cs"/>
          <w:sz w:val="24"/>
          <w:szCs w:val="24"/>
          <w:rtl/>
        </w:rPr>
        <w:t xml:space="preserve">הנאשמים ואחרים בפרשה ביצעו עבירות על פקודת מס הכנסה, חוק המע"מ וקבלת דבר במרמה המהוות עבירות מקור בהתאם לחוק איסור הלבנת הון. </w:t>
      </w:r>
    </w:p>
    <w:p w:rsidR="00C1469D" w:rsidRDefault="00C1469D" w:rsidP="00C1469D">
      <w:pPr>
        <w:pStyle w:val="af0"/>
        <w:spacing w:after="120" w:line="360" w:lineRule="auto"/>
        <w:ind w:left="707"/>
        <w:jc w:val="both"/>
        <w:rPr>
          <w:rFonts w:ascii="Times New Roman" w:hAnsi="Times New Roman" w:cs="David"/>
          <w:sz w:val="24"/>
          <w:szCs w:val="24"/>
          <w:rtl/>
        </w:rPr>
      </w:pPr>
      <w:r>
        <w:rPr>
          <w:rFonts w:ascii="Times New Roman" w:hAnsi="Times New Roman" w:cs="David" w:hint="cs"/>
          <w:sz w:val="24"/>
          <w:szCs w:val="24"/>
          <w:rtl/>
        </w:rPr>
        <w:t xml:space="preserve">הזהב השחור וכן התשלומים שאותם שילמו הנאשמים תמורתו, החזרי המע"מ שהתקבלו והגלגול שלהם, הם רכוש אסור כהגדרתו בחוק איסור הלבנת הון. </w:t>
      </w:r>
    </w:p>
    <w:p w:rsidR="00C1469D" w:rsidRDefault="00C1469D" w:rsidP="00C1469D">
      <w:pPr>
        <w:pStyle w:val="af0"/>
        <w:spacing w:after="120" w:line="360" w:lineRule="auto"/>
        <w:ind w:left="707"/>
        <w:jc w:val="both"/>
        <w:rPr>
          <w:rFonts w:ascii="Times New Roman" w:hAnsi="Times New Roman" w:cs="David"/>
          <w:sz w:val="24"/>
          <w:szCs w:val="24"/>
          <w:rtl/>
        </w:rPr>
      </w:pPr>
      <w:r>
        <w:rPr>
          <w:rFonts w:ascii="Times New Roman" w:hAnsi="Times New Roman" w:cs="David" w:hint="cs"/>
          <w:sz w:val="24"/>
          <w:szCs w:val="24"/>
          <w:rtl/>
        </w:rPr>
        <w:t xml:space="preserve">הנאשמים יצרו כסות חשבונאית לגיטימית לכאורה, באמצעות החשבוניות הכוזבות לרכוש אסור ויצרו מצג כאילו רכשו את הזהב השחור מהנאשם 2 וכאילו אכן שילמו לו ולחברות שאת החשבוניות שלהן סיפק, את הסכום המגולם בחשבוניות הכוזבות בגין הזהב השחור. </w:t>
      </w:r>
    </w:p>
    <w:p w:rsidR="00C1469D" w:rsidRDefault="00C1469D" w:rsidP="00C1469D">
      <w:pPr>
        <w:pStyle w:val="af0"/>
        <w:spacing w:after="120" w:line="360" w:lineRule="auto"/>
        <w:ind w:left="707"/>
        <w:jc w:val="both"/>
        <w:rPr>
          <w:rFonts w:ascii="Times New Roman" w:hAnsi="Times New Roman" w:cs="David"/>
          <w:sz w:val="24"/>
          <w:szCs w:val="24"/>
          <w:rtl/>
        </w:rPr>
      </w:pPr>
      <w:r>
        <w:rPr>
          <w:rFonts w:ascii="Times New Roman" w:hAnsi="Times New Roman" w:cs="David" w:hint="cs"/>
          <w:sz w:val="24"/>
          <w:szCs w:val="24"/>
          <w:rtl/>
        </w:rPr>
        <w:t xml:space="preserve">על פי האישום הראשון, העוסק בהפצה ובקיזוז החשבוניות הכוזבות, החשבוניות שקיזזה הנאשמת הן כוזבות משום שהעסקאות המתוארות בהן לא התקיימו, הסכומים הרשומים בהן אינם </w:t>
      </w:r>
      <w:proofErr w:type="spellStart"/>
      <w:r>
        <w:rPr>
          <w:rFonts w:ascii="Times New Roman" w:hAnsi="Times New Roman" w:cs="David" w:hint="cs"/>
          <w:sz w:val="24"/>
          <w:szCs w:val="24"/>
          <w:rtl/>
        </w:rPr>
        <w:t>אמיתיים</w:t>
      </w:r>
      <w:proofErr w:type="spellEnd"/>
      <w:r>
        <w:rPr>
          <w:rFonts w:ascii="Times New Roman" w:hAnsi="Times New Roman" w:cs="David" w:hint="cs"/>
          <w:sz w:val="24"/>
          <w:szCs w:val="24"/>
          <w:rtl/>
        </w:rPr>
        <w:t xml:space="preserve"> והן נועדו לתת כסות חשבונאית כוזבת לזהב השחור שקנה הנאשם, </w:t>
      </w:r>
      <w:r>
        <w:rPr>
          <w:rFonts w:ascii="Times New Roman" w:hAnsi="Times New Roman" w:cs="David" w:hint="cs"/>
          <w:sz w:val="24"/>
          <w:szCs w:val="24"/>
          <w:rtl/>
        </w:rPr>
        <w:lastRenderedPageBreak/>
        <w:t xml:space="preserve">במזומן וללא תיעוד חשבונאי כנדרש. החשבוניות הכוזבות הן בסכום (כולל מע"מ) של 488,570,245 ₪. הנאשמים פעלו במרמה, ערמה ותחבולה וניכו מס תשומות מבלי שיש לגביו מסמך כחוק במטרה להתחמק מתשלום מע"מ בסך של 70,988,829 ₪; הכינו או קיימו פנקסי חשבונות כוזבים ופעלו במרמה, עורמה ותחבולה על מנת להתחמק מתשלום מס הכנסה ומתשלום מע"מ; הוציאו חשבוניות מס כוזבות של הנאשמת לחברה אחרת בסך כולל של 55,695,228 ₪ כשהמע"מ הנצמח מהן הנו על סך של 8,092,468 ₪, זאת מבלי שעשו או התחייבו לעשות עסקה לגביה הוצאו החשבוניות. את כל האמור עשו הנאשמים בנסיבות מחמירות בשל ריבוי העבירות וגובה המס ממנו התחמקו, תוך קיום תכנית מרמה במטרה להונות את הרשויות. </w:t>
      </w:r>
    </w:p>
    <w:p w:rsidR="00C1469D" w:rsidRDefault="00C1469D" w:rsidP="00C1469D">
      <w:pPr>
        <w:pStyle w:val="af0"/>
        <w:spacing w:after="120" w:line="360" w:lineRule="auto"/>
        <w:ind w:left="707"/>
        <w:jc w:val="both"/>
        <w:rPr>
          <w:rFonts w:ascii="Times New Roman" w:hAnsi="Times New Roman" w:cs="David"/>
          <w:sz w:val="24"/>
          <w:szCs w:val="24"/>
          <w:rtl/>
        </w:rPr>
      </w:pPr>
      <w:r>
        <w:rPr>
          <w:rFonts w:ascii="Times New Roman" w:hAnsi="Times New Roman" w:cs="David" w:hint="cs"/>
          <w:sz w:val="24"/>
          <w:szCs w:val="24"/>
          <w:rtl/>
        </w:rPr>
        <w:t xml:space="preserve">על פי האישום השני העוסק בהלבנת הון, ביום 12.7.15 פתחו הנאשם ובנו חשבון בנק על שמו של הבן, כאשר החשבון נפתח לצורך פעילות עסקית של הנאשם. במעמד פתיחת החשבון הצהיר הבן כי הוא הנהנה היחיד בחשבון אף שבפועל הוא יועד לעסקי הנאשם. הנאשם פעל כבעל השליטה בחשבון בלי לידע את הבנק בכוונה שפעילותו לא תדווח. סך הכספים שהעביר הנאשם דרך החשבון היה בהיקף שלא פחות מסך של 2,143,094 ₪. </w:t>
      </w:r>
    </w:p>
    <w:p w:rsidR="00C1469D" w:rsidRDefault="00C1469D" w:rsidP="00C1469D">
      <w:pPr>
        <w:pStyle w:val="af0"/>
        <w:spacing w:after="120" w:line="360" w:lineRule="auto"/>
        <w:ind w:left="707"/>
        <w:jc w:val="both"/>
        <w:rPr>
          <w:rFonts w:ascii="Times New Roman" w:hAnsi="Times New Roman" w:cs="David"/>
          <w:sz w:val="24"/>
          <w:szCs w:val="24"/>
          <w:rtl/>
        </w:rPr>
      </w:pPr>
      <w:r>
        <w:rPr>
          <w:rFonts w:ascii="Times New Roman" w:hAnsi="Times New Roman" w:cs="David" w:hint="cs"/>
          <w:sz w:val="24"/>
          <w:szCs w:val="24"/>
          <w:rtl/>
        </w:rPr>
        <w:t xml:space="preserve">בנוסף ניהלו הנאשמים חשבון בנק והעבירו מהחשבון את הכסף שקיבלו מלקוחותיהם בגין מכירת הזהב השחור המהווה רכוש אסור על פי חוק איסור הלבנת הון. לאחר שעובדי הבנק חשדו בפעילות הנאשמים והתבקשו להפסיק פעילותם, הציג הנאשם מצג כוזב כאילו הנאשם 2 הוא ספק הזהב והסחר ביניהם לגיטימי, אף שבפועל הנאשם 2 סיפק חשבוניות כוזבות. </w:t>
      </w:r>
    </w:p>
    <w:p w:rsidR="00C1469D" w:rsidRPr="00B47775" w:rsidRDefault="00C1469D" w:rsidP="00C1469D">
      <w:pPr>
        <w:pStyle w:val="af0"/>
        <w:spacing w:after="120" w:line="360" w:lineRule="auto"/>
        <w:ind w:left="707"/>
        <w:jc w:val="both"/>
        <w:rPr>
          <w:rFonts w:ascii="Times New Roman" w:hAnsi="Times New Roman" w:cs="David"/>
          <w:sz w:val="24"/>
          <w:szCs w:val="24"/>
        </w:rPr>
      </w:pPr>
      <w:r>
        <w:rPr>
          <w:rFonts w:ascii="Times New Roman" w:hAnsi="Times New Roman" w:cs="David" w:hint="cs"/>
          <w:sz w:val="24"/>
          <w:szCs w:val="24"/>
          <w:rtl/>
        </w:rPr>
        <w:t>על פי האישום השלישי העוסק בהברחת טובין, ביום 29.8.19 טס הנאשם לטורקיה ולמחרת היום שב לישראל כשבמזוודותיו</w:t>
      </w:r>
      <w:r w:rsidRPr="00530D70">
        <w:rPr>
          <w:rFonts w:ascii="Times New Roman" w:hAnsi="Times New Roman" w:cs="David" w:hint="cs"/>
          <w:b/>
          <w:bCs/>
          <w:sz w:val="24"/>
          <w:szCs w:val="24"/>
          <w:rtl/>
        </w:rPr>
        <w:t xml:space="preserve"> 22.8 ק"ג תכשיטי זהב בשווי של לפחות 1,246,309 דולר </w:t>
      </w:r>
      <w:r>
        <w:rPr>
          <w:rFonts w:ascii="Times New Roman" w:hAnsi="Times New Roman" w:cs="David" w:hint="cs"/>
          <w:sz w:val="24"/>
          <w:szCs w:val="24"/>
          <w:rtl/>
        </w:rPr>
        <w:t xml:space="preserve">אמריקאי. הנאשם יצא משדה התעופה דרך המסלול הירוק מבלי שהודיע לנציגי המכס על מטענו, ללא אישור לייבוא תכשיטים ומבלי ששילם מע"מ בגינם. </w:t>
      </w:r>
    </w:p>
    <w:p w:rsidR="00C1469D" w:rsidRDefault="00C1469D" w:rsidP="008D5D81">
      <w:pPr>
        <w:pStyle w:val="af0"/>
        <w:numPr>
          <w:ilvl w:val="0"/>
          <w:numId w:val="20"/>
        </w:numPr>
        <w:spacing w:after="120" w:line="360" w:lineRule="auto"/>
        <w:jc w:val="both"/>
        <w:rPr>
          <w:rFonts w:ascii="Times New Roman" w:hAnsi="Times New Roman" w:cs="David"/>
          <w:sz w:val="24"/>
          <w:szCs w:val="24"/>
        </w:rPr>
      </w:pPr>
      <w:r>
        <w:rPr>
          <w:rFonts w:ascii="Times New Roman" w:hAnsi="Times New Roman" w:cs="David"/>
          <w:sz w:val="24"/>
          <w:szCs w:val="24"/>
          <w:rtl/>
        </w:rPr>
        <w:t>הצדדים הגיעו להסדר טיעון</w:t>
      </w:r>
      <w:r>
        <w:rPr>
          <w:rFonts w:ascii="Times New Roman" w:hAnsi="Times New Roman" w:cs="David" w:hint="cs"/>
          <w:sz w:val="24"/>
          <w:szCs w:val="24"/>
          <w:rtl/>
        </w:rPr>
        <w:t xml:space="preserve"> בעקבות הליך של גישור</w:t>
      </w:r>
      <w:r>
        <w:rPr>
          <w:rFonts w:ascii="Times New Roman" w:hAnsi="Times New Roman" w:cs="David"/>
          <w:sz w:val="24"/>
          <w:szCs w:val="24"/>
          <w:rtl/>
        </w:rPr>
        <w:t xml:space="preserve">, </w:t>
      </w:r>
      <w:r>
        <w:rPr>
          <w:rFonts w:ascii="Times New Roman" w:hAnsi="Times New Roman" w:cs="David" w:hint="cs"/>
          <w:sz w:val="24"/>
          <w:szCs w:val="24"/>
          <w:rtl/>
        </w:rPr>
        <w:t xml:space="preserve">במסגרתו הודו והורשעו הנאשם והנאשמת בכתב האישום המתוקן. הצדדים </w:t>
      </w:r>
      <w:r>
        <w:rPr>
          <w:rFonts w:ascii="Times New Roman" w:hAnsi="Times New Roman" w:cs="David"/>
          <w:sz w:val="24"/>
          <w:szCs w:val="24"/>
          <w:rtl/>
        </w:rPr>
        <w:t xml:space="preserve">עתרו במשותף להשית </w:t>
      </w:r>
      <w:r>
        <w:rPr>
          <w:rFonts w:ascii="Times New Roman" w:hAnsi="Times New Roman" w:cs="David" w:hint="cs"/>
          <w:sz w:val="24"/>
          <w:szCs w:val="24"/>
          <w:rtl/>
        </w:rPr>
        <w:t xml:space="preserve">על הנאשם עונש של 53 חודשי </w:t>
      </w:r>
      <w:r>
        <w:rPr>
          <w:rFonts w:ascii="Times New Roman" w:hAnsi="Times New Roman" w:cs="David"/>
          <w:sz w:val="24"/>
          <w:szCs w:val="24"/>
          <w:rtl/>
        </w:rPr>
        <w:t xml:space="preserve">מאסר </w:t>
      </w:r>
      <w:r>
        <w:rPr>
          <w:rFonts w:ascii="Times New Roman" w:hAnsi="Times New Roman" w:cs="David" w:hint="cs"/>
          <w:sz w:val="24"/>
          <w:szCs w:val="24"/>
          <w:rtl/>
        </w:rPr>
        <w:t>בפועל בניכוי ימי מעצרו</w:t>
      </w:r>
      <w:r w:rsidR="008D5D81">
        <w:rPr>
          <w:rFonts w:ascii="Times New Roman" w:hAnsi="Times New Roman" w:cs="David" w:hint="cs"/>
          <w:sz w:val="24"/>
          <w:szCs w:val="24"/>
          <w:rtl/>
        </w:rPr>
        <w:t xml:space="preserve">, לצד מאסר על תנאי. </w:t>
      </w:r>
      <w:r>
        <w:rPr>
          <w:rFonts w:ascii="Times New Roman" w:hAnsi="Times New Roman" w:cs="David" w:hint="cs"/>
          <w:sz w:val="24"/>
          <w:szCs w:val="24"/>
          <w:rtl/>
        </w:rPr>
        <w:t xml:space="preserve">הוסכם על חילוט הרכוש שנתפס מידי הנאשם והנאשמת, בהתאם לטבלה המצורפת להסדר הטיעון. עוד הוסכם על קנס בסך של 150,000 ₪ מתוך  כספי החילוט. כן הוסכם כי המאשימה תעתור לקנס נוסף שיוטל על הנאשם בסך של 200,000 ₪, ואילו ההגנה תעתור להימנע מהטלת הקנס הנוסף. </w:t>
      </w:r>
    </w:p>
    <w:p w:rsidR="00C1469D" w:rsidRDefault="00C1469D" w:rsidP="00C1469D">
      <w:pPr>
        <w:pStyle w:val="af0"/>
        <w:spacing w:after="120" w:line="360" w:lineRule="auto"/>
        <w:jc w:val="both"/>
        <w:rPr>
          <w:rFonts w:ascii="Times New Roman" w:hAnsi="Times New Roman" w:cs="David"/>
          <w:sz w:val="24"/>
          <w:szCs w:val="24"/>
          <w:rtl/>
        </w:rPr>
      </w:pPr>
      <w:r>
        <w:rPr>
          <w:rFonts w:ascii="Times New Roman" w:hAnsi="Times New Roman" w:cs="David" w:hint="cs"/>
          <w:sz w:val="24"/>
          <w:szCs w:val="24"/>
          <w:rtl/>
        </w:rPr>
        <w:t xml:space="preserve">מועד התייצבות למאסר ולתשלום הקנס יהיה בדיון פתוח. </w:t>
      </w:r>
    </w:p>
    <w:p w:rsidR="00C1469D" w:rsidRDefault="00C1469D" w:rsidP="00C1469D">
      <w:pPr>
        <w:pStyle w:val="af0"/>
        <w:spacing w:after="120" w:line="360" w:lineRule="auto"/>
        <w:jc w:val="both"/>
        <w:rPr>
          <w:rFonts w:ascii="Times New Roman" w:hAnsi="Times New Roman" w:cs="David"/>
          <w:sz w:val="24"/>
          <w:szCs w:val="24"/>
          <w:rtl/>
        </w:rPr>
      </w:pPr>
      <w:r>
        <w:rPr>
          <w:rFonts w:ascii="Times New Roman" w:hAnsi="Times New Roman" w:cs="David" w:hint="cs"/>
          <w:sz w:val="24"/>
          <w:szCs w:val="24"/>
          <w:rtl/>
        </w:rPr>
        <w:lastRenderedPageBreak/>
        <w:t>עוד הבהירו הצדדים כי בכל הנוגע לרכוש שנתפס על ידי המכס, הרי שהמאשימה לא תבקש לחלט אותו בהליך זה, ואולם אין בכך כדי ליצו</w:t>
      </w:r>
      <w:r w:rsidR="008D5D81">
        <w:rPr>
          <w:rFonts w:ascii="Times New Roman" w:hAnsi="Times New Roman" w:cs="David" w:hint="cs"/>
          <w:sz w:val="24"/>
          <w:szCs w:val="24"/>
          <w:rtl/>
        </w:rPr>
        <w:t>ר ציפייה בליבו של הנאשם לגבי הח</w:t>
      </w:r>
      <w:r>
        <w:rPr>
          <w:rFonts w:ascii="Times New Roman" w:hAnsi="Times New Roman" w:cs="David" w:hint="cs"/>
          <w:sz w:val="24"/>
          <w:szCs w:val="24"/>
          <w:rtl/>
        </w:rPr>
        <w:t>ר</w:t>
      </w:r>
      <w:r w:rsidR="008D5D81">
        <w:rPr>
          <w:rFonts w:ascii="Times New Roman" w:hAnsi="Times New Roman" w:cs="David" w:hint="cs"/>
          <w:sz w:val="24"/>
          <w:szCs w:val="24"/>
          <w:rtl/>
        </w:rPr>
        <w:t>מ</w:t>
      </w:r>
      <w:r>
        <w:rPr>
          <w:rFonts w:ascii="Times New Roman" w:hAnsi="Times New Roman" w:cs="David" w:hint="cs"/>
          <w:sz w:val="24"/>
          <w:szCs w:val="24"/>
          <w:rtl/>
        </w:rPr>
        <w:t xml:space="preserve">ת הרכוש בהליכים אחרים על ידי רשויות המכס. </w:t>
      </w:r>
    </w:p>
    <w:p w:rsidR="008D5D81" w:rsidRDefault="008D5D81" w:rsidP="00520262">
      <w:pPr>
        <w:pStyle w:val="af0"/>
        <w:numPr>
          <w:ilvl w:val="0"/>
          <w:numId w:val="20"/>
        </w:numPr>
        <w:spacing w:after="120" w:line="360" w:lineRule="auto"/>
        <w:jc w:val="both"/>
        <w:rPr>
          <w:rFonts w:ascii="Times New Roman" w:hAnsi="Times New Roman" w:cs="David"/>
          <w:sz w:val="24"/>
          <w:szCs w:val="24"/>
        </w:rPr>
      </w:pPr>
      <w:r w:rsidRPr="008D5D81">
        <w:rPr>
          <w:rFonts w:ascii="Times New Roman" w:hAnsi="Times New Roman" w:cs="David" w:hint="cs"/>
          <w:sz w:val="24"/>
          <w:szCs w:val="24"/>
          <w:rtl/>
        </w:rPr>
        <w:t>ב"כ המאשימה עו"ד ניר מסורי טען כי יש לכבד את הסדר הטיעון. מידת הפגיעה בערך המוגן היא רבה והנאשם הוא מחולל הפרשה. ההסדר עולה בקנס אחד עם הפסיקה הנוהגת הגם שעל הצד המקל. ב"כ המאשימה הפנה לקנסות שהוטלו במקרים דומים בסך של כ 600,000 עד 700,000 ₪ ועתר להטיל קנס ברף העליון של הסדר הטיעון וזאת אף לאור חשיבות הענישה הכלכלית כפי שנקבע לא אחת בפסיקה. ב"כ המאשימה הוסיף וטען כי הנאשם לא הסיר</w:t>
      </w:r>
      <w:r>
        <w:rPr>
          <w:rFonts w:ascii="Times New Roman" w:hAnsi="Times New Roman" w:cs="David" w:hint="cs"/>
          <w:sz w:val="24"/>
          <w:szCs w:val="24"/>
          <w:rtl/>
        </w:rPr>
        <w:t xml:space="preserve"> את המחדל וספק אם יוכל לעשות כן. בנוגע לחברה, עתר לקנס סמלי. </w:t>
      </w:r>
    </w:p>
    <w:p w:rsidR="008D5D81" w:rsidRDefault="008D5D81" w:rsidP="008D5D81">
      <w:pPr>
        <w:pStyle w:val="af0"/>
        <w:spacing w:after="120" w:line="360" w:lineRule="auto"/>
        <w:jc w:val="both"/>
        <w:rPr>
          <w:rFonts w:ascii="Times New Roman" w:hAnsi="Times New Roman" w:cs="David"/>
          <w:sz w:val="24"/>
          <w:szCs w:val="24"/>
          <w:rtl/>
        </w:rPr>
      </w:pPr>
      <w:r>
        <w:rPr>
          <w:rFonts w:ascii="Times New Roman" w:hAnsi="Times New Roman" w:cs="David" w:hint="cs"/>
          <w:sz w:val="24"/>
          <w:szCs w:val="24"/>
          <w:rtl/>
        </w:rPr>
        <w:t>ב"כ הנאשם עו"ד לירן זילברמן עתר לכבד את הסדר הטיעון לה</w:t>
      </w:r>
      <w:r w:rsidR="00027D7B">
        <w:rPr>
          <w:rFonts w:ascii="Times New Roman" w:hAnsi="Times New Roman" w:cs="David" w:hint="cs"/>
          <w:sz w:val="24"/>
          <w:szCs w:val="24"/>
          <w:rtl/>
        </w:rPr>
        <w:t>י</w:t>
      </w:r>
      <w:r>
        <w:rPr>
          <w:rFonts w:ascii="Times New Roman" w:hAnsi="Times New Roman" w:cs="David" w:hint="cs"/>
          <w:sz w:val="24"/>
          <w:szCs w:val="24"/>
          <w:rtl/>
        </w:rPr>
        <w:t>מנע מהטלת קנס נוסף מעבר לזה שהוסכם. ב"כ הנאשם הפנה לפסיקה במקרים דומים שבהם הוטלו קנס שבין 150,000 ₪ ל 400,000 ₪, הפנה למצבו הכלכלי הקשה של הנאשם והציג מסמכים (נ</w:t>
      </w:r>
      <w:r w:rsidR="00027D7B">
        <w:rPr>
          <w:rFonts w:ascii="Times New Roman" w:hAnsi="Times New Roman" w:cs="David" w:hint="cs"/>
          <w:sz w:val="24"/>
          <w:szCs w:val="24"/>
          <w:rtl/>
        </w:rPr>
        <w:t xml:space="preserve">/1) וכן למצב משפחתו. עוד עתר ב"כ המאשימה לדחייה משמעותית של מועד ההתייצבות למאסר. </w:t>
      </w:r>
    </w:p>
    <w:p w:rsidR="00027D7B" w:rsidRPr="008D5D81" w:rsidRDefault="00027D7B" w:rsidP="008D5D81">
      <w:pPr>
        <w:pStyle w:val="af0"/>
        <w:spacing w:after="120" w:line="360" w:lineRule="auto"/>
        <w:jc w:val="both"/>
        <w:rPr>
          <w:rFonts w:ascii="Times New Roman" w:hAnsi="Times New Roman" w:cs="David"/>
          <w:sz w:val="24"/>
          <w:szCs w:val="24"/>
        </w:rPr>
      </w:pPr>
      <w:r>
        <w:rPr>
          <w:rFonts w:ascii="Times New Roman" w:hAnsi="Times New Roman" w:cs="David" w:hint="cs"/>
          <w:sz w:val="24"/>
          <w:szCs w:val="24"/>
          <w:rtl/>
        </w:rPr>
        <w:t xml:space="preserve">הנאשם עצמו התייחס בדבריו לעונש למצבו הכלכלי הקשה ולמצבה של משפחתו. </w:t>
      </w:r>
    </w:p>
    <w:p w:rsidR="00C1469D" w:rsidRDefault="00C1469D" w:rsidP="00027D7B">
      <w:pPr>
        <w:pStyle w:val="af0"/>
        <w:numPr>
          <w:ilvl w:val="0"/>
          <w:numId w:val="20"/>
        </w:numPr>
        <w:spacing w:after="120" w:line="360" w:lineRule="auto"/>
        <w:jc w:val="both"/>
        <w:rPr>
          <w:rFonts w:ascii="Times New Roman" w:hAnsi="Times New Roman" w:cs="David"/>
          <w:sz w:val="24"/>
          <w:szCs w:val="24"/>
        </w:rPr>
      </w:pPr>
      <w:r>
        <w:rPr>
          <w:rFonts w:ascii="Times New Roman" w:hAnsi="Times New Roman" w:cs="David"/>
          <w:sz w:val="24"/>
          <w:szCs w:val="24"/>
          <w:rtl/>
        </w:rPr>
        <w:t>לאחר ששמעתי את טיעוני הצדדים</w:t>
      </w:r>
      <w:r>
        <w:rPr>
          <w:rFonts w:ascii="Times New Roman" w:hAnsi="Times New Roman" w:cs="David" w:hint="cs"/>
          <w:sz w:val="24"/>
          <w:szCs w:val="24"/>
          <w:rtl/>
        </w:rPr>
        <w:t xml:space="preserve"> ולאור נסיבותיו של התיק</w:t>
      </w:r>
      <w:r>
        <w:rPr>
          <w:rFonts w:ascii="Times New Roman" w:hAnsi="Times New Roman" w:cs="David"/>
          <w:sz w:val="24"/>
          <w:szCs w:val="24"/>
          <w:rtl/>
        </w:rPr>
        <w:t>, סבורני כי הסדר הטיעון סביר ומאוזן ויש לכבדו</w:t>
      </w:r>
      <w:r>
        <w:rPr>
          <w:rFonts w:ascii="Times New Roman" w:hAnsi="Times New Roman" w:cs="David" w:hint="cs"/>
          <w:sz w:val="24"/>
          <w:szCs w:val="24"/>
          <w:rtl/>
        </w:rPr>
        <w:t>, וזאת על אף שיש בו הקלה משמעותית בעונש אשר מוטל על הנאשם ביחס לעונש אשר ראוי היה להטיל לנוכח חומרת העבירות והיקפן</w:t>
      </w:r>
      <w:r>
        <w:rPr>
          <w:rFonts w:ascii="Times New Roman" w:hAnsi="Times New Roman" w:cs="David"/>
          <w:sz w:val="24"/>
          <w:szCs w:val="24"/>
          <w:rtl/>
        </w:rPr>
        <w:t>.</w:t>
      </w:r>
      <w:r>
        <w:rPr>
          <w:rFonts w:ascii="Times New Roman" w:hAnsi="Times New Roman" w:cs="David" w:hint="cs"/>
          <w:sz w:val="24"/>
          <w:szCs w:val="24"/>
          <w:rtl/>
        </w:rPr>
        <w:t xml:space="preserve"> בהקשר זה נתתי דעתי, מחד גיסא, לחומרת העבירות, לכך שמדובר בעבירות כלכליות בהיקף משמעותי ביותר של מאות מיליוני ₪, לתחכום הרב שבביצוע העבירות, לנזק שנגרם לקופת המדינה, לריבוי המעורבים ולמרמה אשר נלוותה למעשים. מאידך גיסא, נתתי דעתי לכך שהנאשם הודה באשמה ונטל אחריות למעשיו וכן למורכבות ניהול ההליך. עוד נתתי דעתי לשיקולי אחידות בענישה ביחס לנאשם 5 אשר נגזר עליו עונש מאסר של 36 חודשים, ולכ</w:t>
      </w:r>
      <w:r w:rsidR="00027D7B">
        <w:rPr>
          <w:rFonts w:ascii="Times New Roman" w:hAnsi="Times New Roman" w:cs="David" w:hint="cs"/>
          <w:sz w:val="24"/>
          <w:szCs w:val="24"/>
          <w:rtl/>
        </w:rPr>
        <w:t>ך</w:t>
      </w:r>
      <w:r>
        <w:rPr>
          <w:rFonts w:ascii="Times New Roman" w:hAnsi="Times New Roman" w:cs="David" w:hint="cs"/>
          <w:sz w:val="24"/>
          <w:szCs w:val="24"/>
          <w:rtl/>
        </w:rPr>
        <w:t xml:space="preserve"> שחלקו של הנאשם חמור מחלקו של הנאשם 5, ולפיכך עונשו חמור יותר בהתאמה. </w:t>
      </w:r>
    </w:p>
    <w:p w:rsidR="00C1469D" w:rsidRDefault="00C1469D" w:rsidP="00027D7B">
      <w:pPr>
        <w:pStyle w:val="af0"/>
        <w:spacing w:after="120" w:line="360" w:lineRule="auto"/>
        <w:jc w:val="both"/>
        <w:rPr>
          <w:rFonts w:ascii="David" w:hAnsi="David" w:cs="David"/>
          <w:sz w:val="24"/>
          <w:szCs w:val="24"/>
          <w:rtl/>
        </w:rPr>
      </w:pPr>
      <w:r w:rsidRPr="00F24F73">
        <w:rPr>
          <w:rFonts w:ascii="David" w:hAnsi="David" w:cs="David"/>
          <w:color w:val="000000"/>
          <w:sz w:val="24"/>
          <w:szCs w:val="24"/>
          <w:rtl/>
        </w:rPr>
        <w:t xml:space="preserve">רכיב המאסר </w:t>
      </w:r>
      <w:r>
        <w:rPr>
          <w:rFonts w:ascii="David" w:hAnsi="David" w:cs="David" w:hint="cs"/>
          <w:color w:val="000000"/>
          <w:sz w:val="24"/>
          <w:szCs w:val="24"/>
          <w:rtl/>
        </w:rPr>
        <w:t xml:space="preserve">בפועל </w:t>
      </w:r>
      <w:r w:rsidRPr="00F24F73">
        <w:rPr>
          <w:rFonts w:ascii="David" w:hAnsi="David" w:cs="David"/>
          <w:color w:val="000000"/>
          <w:sz w:val="24"/>
          <w:szCs w:val="24"/>
          <w:rtl/>
        </w:rPr>
        <w:t>מבטא את קביעת בתי המשפט אשר חזרו והדגישו את החומרה שבה יש להתייחס לעבריינות כלכלית בכלל ולעבריינות מס בפרט. זאת נוכח התוצאות ההרסניות שלהן למשק, לכלכלה ולחברה ובהיותן עבירות שהן קלות לביצוע וקשות לאכיפה ומשכך יש לנקוט ביד קשה כנגד עבריינים אלה. (בעניין זה ראו בין היתר</w:t>
      </w:r>
      <w:r w:rsidRPr="00F24F73">
        <w:rPr>
          <w:rFonts w:ascii="David" w:hAnsi="David" w:cs="David"/>
          <w:sz w:val="24"/>
          <w:szCs w:val="24"/>
          <w:rtl/>
        </w:rPr>
        <w:t xml:space="preserve"> </w:t>
      </w:r>
      <w:proofErr w:type="spellStart"/>
      <w:r w:rsidRPr="00F24F73">
        <w:rPr>
          <w:rFonts w:ascii="David" w:hAnsi="David" w:cs="David"/>
          <w:sz w:val="24"/>
          <w:szCs w:val="24"/>
          <w:rtl/>
        </w:rPr>
        <w:t>ברע"פ</w:t>
      </w:r>
      <w:proofErr w:type="spellEnd"/>
      <w:r w:rsidRPr="00F24F73">
        <w:rPr>
          <w:rFonts w:ascii="David" w:hAnsi="David" w:cs="David"/>
          <w:sz w:val="24"/>
          <w:szCs w:val="24"/>
          <w:rtl/>
        </w:rPr>
        <w:t xml:space="preserve"> 1383/22 </w:t>
      </w:r>
      <w:r w:rsidRPr="00F24F73">
        <w:rPr>
          <w:rFonts w:ascii="David" w:hAnsi="David" w:cs="David"/>
          <w:b/>
          <w:bCs/>
          <w:sz w:val="24"/>
          <w:szCs w:val="24"/>
          <w:rtl/>
        </w:rPr>
        <w:t>ג'אבר נ' מדינת ישראל</w:t>
      </w:r>
      <w:r w:rsidRPr="00F24F73">
        <w:rPr>
          <w:rFonts w:ascii="David" w:hAnsi="David" w:cs="David"/>
          <w:sz w:val="24"/>
          <w:szCs w:val="24"/>
          <w:rtl/>
        </w:rPr>
        <w:t xml:space="preserve"> (8.3.22)).</w:t>
      </w:r>
      <w:r w:rsidR="00027D7B">
        <w:rPr>
          <w:rFonts w:ascii="David" w:hAnsi="David" w:cs="David" w:hint="cs"/>
          <w:sz w:val="24"/>
          <w:szCs w:val="24"/>
          <w:rtl/>
        </w:rPr>
        <w:t xml:space="preserve"> עוד נתתי דעתי לפסיקה הנוהגת במקרים דומים </w:t>
      </w:r>
      <w:proofErr w:type="spellStart"/>
      <w:r w:rsidR="00027D7B">
        <w:rPr>
          <w:rFonts w:ascii="David" w:hAnsi="David" w:cs="David" w:hint="cs"/>
          <w:sz w:val="24"/>
          <w:szCs w:val="24"/>
          <w:rtl/>
        </w:rPr>
        <w:t>ובענין</w:t>
      </w:r>
      <w:proofErr w:type="spellEnd"/>
      <w:r w:rsidR="00027D7B">
        <w:rPr>
          <w:rFonts w:ascii="David" w:hAnsi="David" w:cs="David" w:hint="cs"/>
          <w:sz w:val="24"/>
          <w:szCs w:val="24"/>
          <w:rtl/>
        </w:rPr>
        <w:t xml:space="preserve"> זה אפנה </w:t>
      </w:r>
      <w:proofErr w:type="spellStart"/>
      <w:r w:rsidR="00027D7B">
        <w:rPr>
          <w:rFonts w:ascii="David" w:hAnsi="David" w:cs="David" w:hint="cs"/>
          <w:sz w:val="24"/>
          <w:szCs w:val="24"/>
          <w:rtl/>
        </w:rPr>
        <w:t>לע"פ</w:t>
      </w:r>
      <w:proofErr w:type="spellEnd"/>
      <w:r w:rsidR="00027D7B">
        <w:rPr>
          <w:rFonts w:ascii="David" w:hAnsi="David" w:cs="David" w:hint="cs"/>
          <w:sz w:val="24"/>
          <w:szCs w:val="24"/>
          <w:rtl/>
        </w:rPr>
        <w:t xml:space="preserve"> 7029/14 אביתר איציק נ' מ"י (08.06.15) וכן </w:t>
      </w:r>
      <w:proofErr w:type="spellStart"/>
      <w:r w:rsidR="00027D7B">
        <w:rPr>
          <w:rFonts w:ascii="David" w:hAnsi="David" w:cs="David" w:hint="cs"/>
          <w:sz w:val="24"/>
          <w:szCs w:val="24"/>
          <w:rtl/>
        </w:rPr>
        <w:t>לת"פ</w:t>
      </w:r>
      <w:proofErr w:type="spellEnd"/>
      <w:r w:rsidR="00027D7B">
        <w:rPr>
          <w:rFonts w:ascii="David" w:hAnsi="David" w:cs="David" w:hint="cs"/>
          <w:sz w:val="24"/>
          <w:szCs w:val="24"/>
          <w:rtl/>
        </w:rPr>
        <w:t xml:space="preserve"> (מחוזי ת"א) 21218-07-13 מ"י נ' שפק (08.09.14). </w:t>
      </w:r>
    </w:p>
    <w:p w:rsidR="00C1469D" w:rsidRDefault="00C1469D" w:rsidP="00C1469D">
      <w:pPr>
        <w:pStyle w:val="af0"/>
        <w:numPr>
          <w:ilvl w:val="0"/>
          <w:numId w:val="20"/>
        </w:numPr>
        <w:spacing w:after="120" w:line="360" w:lineRule="auto"/>
        <w:jc w:val="both"/>
        <w:rPr>
          <w:rFonts w:ascii="David" w:hAnsi="David" w:cs="David"/>
          <w:sz w:val="24"/>
          <w:szCs w:val="24"/>
          <w:rtl/>
        </w:rPr>
      </w:pPr>
      <w:r>
        <w:rPr>
          <w:rFonts w:ascii="David" w:hAnsi="David" w:cs="David" w:hint="cs"/>
          <w:sz w:val="24"/>
          <w:szCs w:val="24"/>
          <w:rtl/>
        </w:rPr>
        <w:lastRenderedPageBreak/>
        <w:t xml:space="preserve">בכל הנוגע לקנס, כאמור לעיל, הסכימו הצדדים על קנס בסך 150,000 ₪ מתוך הכספים המוחזקים ביחידת החילוט. </w:t>
      </w:r>
      <w:r w:rsidRPr="00B03AD2">
        <w:rPr>
          <w:rFonts w:ascii="Times New Roman" w:hAnsi="Times New Roman" w:cs="David" w:hint="cs"/>
          <w:sz w:val="24"/>
          <w:szCs w:val="24"/>
          <w:rtl/>
        </w:rPr>
        <w:t>בנוסף</w:t>
      </w:r>
      <w:r>
        <w:rPr>
          <w:rFonts w:ascii="David" w:hAnsi="David" w:cs="David" w:hint="cs"/>
          <w:sz w:val="24"/>
          <w:szCs w:val="24"/>
          <w:rtl/>
        </w:rPr>
        <w:t xml:space="preserve"> לכך, עתרה המאשימה לקנס נוסף בסך של 200,000 ₪, ואילו ההגנה עתרה להימנע מכך. </w:t>
      </w:r>
    </w:p>
    <w:p w:rsidR="00C1469D" w:rsidRDefault="00C1469D" w:rsidP="00C1469D">
      <w:pPr>
        <w:pStyle w:val="af0"/>
        <w:spacing w:after="120" w:line="360" w:lineRule="auto"/>
        <w:jc w:val="both"/>
        <w:rPr>
          <w:rFonts w:ascii="David" w:hAnsi="David" w:cs="David"/>
          <w:sz w:val="24"/>
          <w:szCs w:val="24"/>
          <w:rtl/>
        </w:rPr>
      </w:pPr>
      <w:r>
        <w:rPr>
          <w:rFonts w:ascii="David" w:hAnsi="David" w:cs="David" w:hint="cs"/>
          <w:sz w:val="24"/>
          <w:szCs w:val="24"/>
          <w:rtl/>
        </w:rPr>
        <w:t>בכל הנוגע לשיעור הקנס הנוסף, סבורני כי יש להטיל על הנאשם קנס נוסף משמעותי, וזאת בשים לב להיקף העצום של עבירות המס שביצע הנא</w:t>
      </w:r>
      <w:r w:rsidR="00027D7B">
        <w:rPr>
          <w:rFonts w:ascii="David" w:hAnsi="David" w:cs="David" w:hint="cs"/>
          <w:sz w:val="24"/>
          <w:szCs w:val="24"/>
          <w:rtl/>
        </w:rPr>
        <w:t>שם, אך תוך התחשבות במצבו הכלכלי כפי שנטען והוצג על ידי ההגנה,</w:t>
      </w:r>
      <w:r>
        <w:rPr>
          <w:rFonts w:ascii="David" w:hAnsi="David" w:cs="David" w:hint="cs"/>
          <w:sz w:val="24"/>
          <w:szCs w:val="24"/>
          <w:rtl/>
        </w:rPr>
        <w:t xml:space="preserve"> ובתקופת המאסר הצפויה לו. </w:t>
      </w:r>
    </w:p>
    <w:p w:rsidR="00027D7B" w:rsidRPr="00F24F73" w:rsidRDefault="00027D7B" w:rsidP="00C1469D">
      <w:pPr>
        <w:pStyle w:val="af0"/>
        <w:spacing w:after="120" w:line="360" w:lineRule="auto"/>
        <w:jc w:val="both"/>
        <w:rPr>
          <w:rFonts w:ascii="David" w:hAnsi="David" w:cs="David"/>
          <w:sz w:val="24"/>
          <w:szCs w:val="24"/>
        </w:rPr>
      </w:pPr>
      <w:r>
        <w:rPr>
          <w:rFonts w:ascii="David" w:hAnsi="David" w:cs="David" w:hint="cs"/>
          <w:sz w:val="24"/>
          <w:szCs w:val="24"/>
          <w:rtl/>
        </w:rPr>
        <w:t xml:space="preserve">בכל הנוגע לעתירת ההגנה לדחיית מועד ההתייצבות, סבורני כי יש לאפשר לנאשם אורכה של ממש לשם התייצבותו למאסר. </w:t>
      </w:r>
    </w:p>
    <w:p w:rsidR="00C1469D" w:rsidRDefault="00C1469D" w:rsidP="00C1469D">
      <w:pPr>
        <w:pStyle w:val="af0"/>
        <w:numPr>
          <w:ilvl w:val="0"/>
          <w:numId w:val="20"/>
        </w:numPr>
        <w:spacing w:after="120" w:line="360" w:lineRule="auto"/>
        <w:jc w:val="both"/>
        <w:rPr>
          <w:rFonts w:ascii="Times New Roman" w:hAnsi="Times New Roman" w:cs="David"/>
          <w:sz w:val="24"/>
          <w:szCs w:val="24"/>
        </w:rPr>
      </w:pPr>
      <w:r w:rsidRPr="00BA1D80">
        <w:rPr>
          <w:rFonts w:ascii="Times New Roman" w:hAnsi="Times New Roman" w:cs="David"/>
          <w:b/>
          <w:bCs/>
          <w:sz w:val="24"/>
          <w:szCs w:val="24"/>
          <w:u w:val="single"/>
          <w:rtl/>
        </w:rPr>
        <w:t>אשר על-כן, אני גוזר על הנאשם את העונשים הבאים</w:t>
      </w:r>
      <w:r>
        <w:rPr>
          <w:rFonts w:ascii="Times New Roman" w:hAnsi="Times New Roman" w:cs="David"/>
          <w:sz w:val="24"/>
          <w:szCs w:val="24"/>
          <w:rtl/>
        </w:rPr>
        <w:t>:</w:t>
      </w:r>
    </w:p>
    <w:p w:rsidR="00C1469D" w:rsidRDefault="00C1469D" w:rsidP="00C1469D">
      <w:pPr>
        <w:pStyle w:val="af0"/>
        <w:numPr>
          <w:ilvl w:val="0"/>
          <w:numId w:val="21"/>
        </w:numPr>
        <w:spacing w:after="120" w:line="360" w:lineRule="auto"/>
        <w:jc w:val="both"/>
        <w:rPr>
          <w:rFonts w:ascii="Times New Roman" w:hAnsi="Times New Roman" w:cs="David"/>
          <w:sz w:val="24"/>
          <w:szCs w:val="24"/>
        </w:rPr>
      </w:pPr>
      <w:r>
        <w:rPr>
          <w:rFonts w:ascii="Times New Roman" w:hAnsi="Times New Roman" w:cs="David" w:hint="cs"/>
          <w:b/>
          <w:bCs/>
          <w:sz w:val="24"/>
          <w:szCs w:val="24"/>
          <w:rtl/>
        </w:rPr>
        <w:t xml:space="preserve">53 חודשי </w:t>
      </w:r>
      <w:r w:rsidRPr="00D144E2">
        <w:rPr>
          <w:rFonts w:ascii="Times New Roman" w:hAnsi="Times New Roman" w:cs="David" w:hint="cs"/>
          <w:b/>
          <w:bCs/>
          <w:sz w:val="24"/>
          <w:szCs w:val="24"/>
          <w:rtl/>
        </w:rPr>
        <w:t xml:space="preserve">מאסר </w:t>
      </w:r>
      <w:r>
        <w:rPr>
          <w:rFonts w:ascii="Times New Roman" w:hAnsi="Times New Roman" w:cs="David" w:hint="cs"/>
          <w:b/>
          <w:bCs/>
          <w:sz w:val="24"/>
          <w:szCs w:val="24"/>
          <w:rtl/>
        </w:rPr>
        <w:t xml:space="preserve">בפועל, </w:t>
      </w:r>
      <w:r w:rsidRPr="005F02C7">
        <w:rPr>
          <w:rFonts w:ascii="Times New Roman" w:hAnsi="Times New Roman" w:cs="David" w:hint="cs"/>
          <w:sz w:val="24"/>
          <w:szCs w:val="24"/>
          <w:rtl/>
        </w:rPr>
        <w:t>בניכוי ימי המעצר החל מיום</w:t>
      </w:r>
      <w:r>
        <w:rPr>
          <w:rFonts w:ascii="Times New Roman" w:hAnsi="Times New Roman" w:cs="David" w:hint="cs"/>
          <w:sz w:val="24"/>
          <w:szCs w:val="24"/>
          <w:rtl/>
        </w:rPr>
        <w:t xml:space="preserve"> 20.11.17 ועד ליום 30.11.17 וכן החל מיום 30.8.19 ועד ליום 9.9.19.</w:t>
      </w:r>
    </w:p>
    <w:p w:rsidR="00C1469D" w:rsidRDefault="00C1469D" w:rsidP="00C1469D">
      <w:pPr>
        <w:pStyle w:val="af0"/>
        <w:numPr>
          <w:ilvl w:val="0"/>
          <w:numId w:val="21"/>
        </w:numPr>
        <w:spacing w:after="120" w:line="360" w:lineRule="auto"/>
        <w:jc w:val="both"/>
        <w:rPr>
          <w:rFonts w:ascii="Times New Roman" w:hAnsi="Times New Roman" w:cs="David"/>
          <w:sz w:val="24"/>
          <w:szCs w:val="24"/>
        </w:rPr>
      </w:pPr>
      <w:r>
        <w:rPr>
          <w:rFonts w:ascii="Times New Roman" w:hAnsi="Times New Roman" w:cs="David" w:hint="cs"/>
          <w:sz w:val="24"/>
          <w:szCs w:val="24"/>
          <w:rtl/>
        </w:rPr>
        <w:t xml:space="preserve">12 </w:t>
      </w:r>
      <w:r w:rsidRPr="00EE155B">
        <w:rPr>
          <w:rFonts w:ascii="Times New Roman" w:hAnsi="Times New Roman" w:cs="David" w:hint="cs"/>
          <w:sz w:val="24"/>
          <w:szCs w:val="24"/>
          <w:rtl/>
        </w:rPr>
        <w:t>חודשי מאסר על תנאי, לבל יעבור ה</w:t>
      </w:r>
      <w:r>
        <w:rPr>
          <w:rFonts w:ascii="Times New Roman" w:hAnsi="Times New Roman" w:cs="David" w:hint="cs"/>
          <w:sz w:val="24"/>
          <w:szCs w:val="24"/>
          <w:rtl/>
        </w:rPr>
        <w:t>נאשם במשך 3 שנים מיום שחרורו ממאסר עבירה מהעבירות שבהן הורשע, או כל עבירה מסוג פשע לפי פקודת מס הכנסה, חוק מס ערך מוסף או חוק איסור הלבנת הון.</w:t>
      </w:r>
    </w:p>
    <w:p w:rsidR="00C1469D" w:rsidRDefault="00C1469D" w:rsidP="00C1469D">
      <w:pPr>
        <w:pStyle w:val="af0"/>
        <w:numPr>
          <w:ilvl w:val="0"/>
          <w:numId w:val="21"/>
        </w:numPr>
        <w:spacing w:after="120" w:line="360" w:lineRule="auto"/>
        <w:jc w:val="both"/>
        <w:rPr>
          <w:rFonts w:ascii="Times New Roman" w:hAnsi="Times New Roman" w:cs="David"/>
          <w:sz w:val="24"/>
          <w:szCs w:val="24"/>
        </w:rPr>
      </w:pPr>
      <w:r w:rsidRPr="00B03AD2">
        <w:rPr>
          <w:rFonts w:ascii="Times New Roman" w:hAnsi="Times New Roman" w:cs="David" w:hint="cs"/>
          <w:b/>
          <w:bCs/>
          <w:sz w:val="24"/>
          <w:szCs w:val="24"/>
          <w:rtl/>
        </w:rPr>
        <w:t>קנס כספי בסך של 150,000 ₪</w:t>
      </w:r>
      <w:r w:rsidRPr="00B03AD2">
        <w:rPr>
          <w:rFonts w:ascii="Times New Roman" w:hAnsi="Times New Roman" w:cs="David" w:hint="cs"/>
          <w:sz w:val="24"/>
          <w:szCs w:val="24"/>
          <w:rtl/>
        </w:rPr>
        <w:t xml:space="preserve"> </w:t>
      </w:r>
      <w:r>
        <w:rPr>
          <w:rFonts w:ascii="Times New Roman" w:hAnsi="Times New Roman" w:cs="David" w:hint="cs"/>
          <w:sz w:val="24"/>
          <w:szCs w:val="24"/>
          <w:rtl/>
        </w:rPr>
        <w:t>שישולם מהכספים המוחזקים ביחידת החילוט ויופקד לקרן החילוט באמצעות המרכז לגביית קנסות א</w:t>
      </w:r>
      <w:r w:rsidR="006F0AAD">
        <w:rPr>
          <w:rFonts w:ascii="Times New Roman" w:hAnsi="Times New Roman" w:cs="David" w:hint="cs"/>
          <w:sz w:val="24"/>
          <w:szCs w:val="24"/>
          <w:rtl/>
        </w:rPr>
        <w:t xml:space="preserve">ו הנהלת בתי המשפט, בהתאם לנהלים, ללא צורך בהליך גבייה נוסף. </w:t>
      </w:r>
      <w:r>
        <w:rPr>
          <w:rFonts w:ascii="Times New Roman" w:hAnsi="Times New Roman" w:cs="David" w:hint="cs"/>
          <w:sz w:val="24"/>
          <w:szCs w:val="24"/>
          <w:rtl/>
        </w:rPr>
        <w:t xml:space="preserve"> </w:t>
      </w:r>
    </w:p>
    <w:p w:rsidR="00C1469D" w:rsidRDefault="006F0AAD" w:rsidP="006F0AAD">
      <w:pPr>
        <w:pStyle w:val="af0"/>
        <w:numPr>
          <w:ilvl w:val="0"/>
          <w:numId w:val="21"/>
        </w:numPr>
        <w:spacing w:after="120" w:line="360" w:lineRule="auto"/>
        <w:jc w:val="both"/>
        <w:rPr>
          <w:rFonts w:ascii="Times New Roman" w:hAnsi="Times New Roman" w:cs="David"/>
          <w:sz w:val="24"/>
          <w:szCs w:val="24"/>
        </w:rPr>
      </w:pPr>
      <w:r>
        <w:rPr>
          <w:rFonts w:ascii="Times New Roman" w:hAnsi="Times New Roman" w:cs="David" w:hint="cs"/>
          <w:b/>
          <w:bCs/>
          <w:sz w:val="24"/>
          <w:szCs w:val="24"/>
          <w:rtl/>
        </w:rPr>
        <w:t>קנס נוסף בסך של 130,000 ש"ח</w:t>
      </w:r>
      <w:r w:rsidR="00C1469D">
        <w:rPr>
          <w:rFonts w:ascii="Times New Roman" w:hAnsi="Times New Roman" w:cs="David" w:hint="cs"/>
          <w:b/>
          <w:bCs/>
          <w:sz w:val="24"/>
          <w:szCs w:val="24"/>
          <w:rtl/>
        </w:rPr>
        <w:t xml:space="preserve">  או </w:t>
      </w:r>
      <w:r>
        <w:rPr>
          <w:rFonts w:ascii="Times New Roman" w:hAnsi="Times New Roman" w:cs="David" w:hint="cs"/>
          <w:b/>
          <w:bCs/>
          <w:sz w:val="24"/>
          <w:szCs w:val="24"/>
          <w:rtl/>
        </w:rPr>
        <w:t>130</w:t>
      </w:r>
      <w:r w:rsidR="00C1469D">
        <w:rPr>
          <w:rFonts w:ascii="Times New Roman" w:hAnsi="Times New Roman" w:cs="David" w:hint="cs"/>
          <w:b/>
          <w:bCs/>
          <w:sz w:val="24"/>
          <w:szCs w:val="24"/>
          <w:rtl/>
        </w:rPr>
        <w:t xml:space="preserve"> ימי מאסר תמורתו.</w:t>
      </w:r>
      <w:r>
        <w:rPr>
          <w:rFonts w:ascii="Times New Roman" w:hAnsi="Times New Roman" w:cs="David" w:hint="cs"/>
          <w:sz w:val="24"/>
          <w:szCs w:val="24"/>
          <w:rtl/>
        </w:rPr>
        <w:t xml:space="preserve"> הקנס ישולם ב-26 </w:t>
      </w:r>
      <w:r w:rsidR="00C1469D">
        <w:rPr>
          <w:rFonts w:ascii="Times New Roman" w:hAnsi="Times New Roman" w:cs="David" w:hint="cs"/>
          <w:sz w:val="24"/>
          <w:szCs w:val="24"/>
          <w:rtl/>
        </w:rPr>
        <w:t xml:space="preserve">תשלומים חודשיים שווים ורצופים, החל מיום </w:t>
      </w:r>
      <w:r>
        <w:rPr>
          <w:rFonts w:ascii="Times New Roman" w:hAnsi="Times New Roman" w:cs="David" w:hint="cs"/>
          <w:sz w:val="24"/>
          <w:szCs w:val="24"/>
          <w:rtl/>
        </w:rPr>
        <w:t>01.05.25</w:t>
      </w:r>
      <w:r w:rsidR="00C1469D">
        <w:rPr>
          <w:rFonts w:ascii="Times New Roman" w:hAnsi="Times New Roman" w:cs="David" w:hint="cs"/>
          <w:sz w:val="24"/>
          <w:szCs w:val="24"/>
          <w:rtl/>
        </w:rPr>
        <w:t xml:space="preserve">. אם לא ישולם תשלום כלשהו במועד, תעמוד היתרה לפירעון </w:t>
      </w:r>
      <w:proofErr w:type="spellStart"/>
      <w:r w:rsidR="00C1469D">
        <w:rPr>
          <w:rFonts w:ascii="Times New Roman" w:hAnsi="Times New Roman" w:cs="David" w:hint="cs"/>
          <w:sz w:val="24"/>
          <w:szCs w:val="24"/>
          <w:rtl/>
        </w:rPr>
        <w:t>מיידי</w:t>
      </w:r>
      <w:proofErr w:type="spellEnd"/>
      <w:r w:rsidR="00C1469D">
        <w:rPr>
          <w:rFonts w:ascii="Times New Roman" w:hAnsi="Times New Roman" w:cs="David" w:hint="cs"/>
          <w:sz w:val="24"/>
          <w:szCs w:val="24"/>
          <w:rtl/>
        </w:rPr>
        <w:t xml:space="preserve">. </w:t>
      </w:r>
      <w:r>
        <w:rPr>
          <w:rFonts w:ascii="Times New Roman" w:hAnsi="Times New Roman" w:cs="David" w:hint="cs"/>
          <w:sz w:val="24"/>
          <w:szCs w:val="24"/>
          <w:rtl/>
        </w:rPr>
        <w:t xml:space="preserve">לאחר התייצבות הנאשם לריצוי מאסרו ובכפוף להגשת אישור על כך על ידי ההגנה לביהמ"ש, הרי שככל שקיים בהליך </w:t>
      </w:r>
      <w:proofErr w:type="spellStart"/>
      <w:r>
        <w:rPr>
          <w:rFonts w:ascii="Times New Roman" w:hAnsi="Times New Roman" w:cs="David" w:hint="cs"/>
          <w:sz w:val="24"/>
          <w:szCs w:val="24"/>
          <w:rtl/>
        </w:rPr>
        <w:t>המ"ת</w:t>
      </w:r>
      <w:proofErr w:type="spellEnd"/>
      <w:r>
        <w:rPr>
          <w:rFonts w:ascii="Times New Roman" w:hAnsi="Times New Roman" w:cs="David" w:hint="cs"/>
          <w:sz w:val="24"/>
          <w:szCs w:val="24"/>
          <w:rtl/>
        </w:rPr>
        <w:t xml:space="preserve"> </w:t>
      </w:r>
      <w:proofErr w:type="spellStart"/>
      <w:r>
        <w:rPr>
          <w:rFonts w:ascii="Times New Roman" w:hAnsi="Times New Roman" w:cs="David" w:hint="cs"/>
          <w:sz w:val="24"/>
          <w:szCs w:val="24"/>
          <w:rtl/>
        </w:rPr>
        <w:t>פקדון</w:t>
      </w:r>
      <w:proofErr w:type="spellEnd"/>
      <w:r>
        <w:rPr>
          <w:rFonts w:ascii="Times New Roman" w:hAnsi="Times New Roman" w:cs="David" w:hint="cs"/>
          <w:sz w:val="24"/>
          <w:szCs w:val="24"/>
          <w:rtl/>
        </w:rPr>
        <w:t xml:space="preserve"> בסך של כ 100,000 ₪, הרי שסכום </w:t>
      </w:r>
      <w:proofErr w:type="spellStart"/>
      <w:r>
        <w:rPr>
          <w:rFonts w:ascii="Times New Roman" w:hAnsi="Times New Roman" w:cs="David" w:hint="cs"/>
          <w:sz w:val="24"/>
          <w:szCs w:val="24"/>
          <w:rtl/>
        </w:rPr>
        <w:t>הפקדון</w:t>
      </w:r>
      <w:proofErr w:type="spellEnd"/>
      <w:r>
        <w:rPr>
          <w:rFonts w:ascii="Times New Roman" w:hAnsi="Times New Roman" w:cs="David" w:hint="cs"/>
          <w:sz w:val="24"/>
          <w:szCs w:val="24"/>
          <w:rtl/>
        </w:rPr>
        <w:t xml:space="preserve"> יועבר </w:t>
      </w:r>
      <w:proofErr w:type="spellStart"/>
      <w:r>
        <w:rPr>
          <w:rFonts w:ascii="Times New Roman" w:hAnsi="Times New Roman" w:cs="David" w:hint="cs"/>
          <w:sz w:val="24"/>
          <w:szCs w:val="24"/>
          <w:rtl/>
        </w:rPr>
        <w:t>לפרעון</w:t>
      </w:r>
      <w:proofErr w:type="spellEnd"/>
      <w:r>
        <w:rPr>
          <w:rFonts w:ascii="Times New Roman" w:hAnsi="Times New Roman" w:cs="David" w:hint="cs"/>
          <w:sz w:val="24"/>
          <w:szCs w:val="24"/>
          <w:rtl/>
        </w:rPr>
        <w:t xml:space="preserve"> הקנס. </w:t>
      </w:r>
    </w:p>
    <w:p w:rsidR="00C1469D" w:rsidRDefault="00C1469D" w:rsidP="00C1469D">
      <w:pPr>
        <w:pStyle w:val="af0"/>
        <w:numPr>
          <w:ilvl w:val="0"/>
          <w:numId w:val="21"/>
        </w:numPr>
        <w:spacing w:after="120" w:line="360" w:lineRule="auto"/>
        <w:jc w:val="both"/>
        <w:rPr>
          <w:rFonts w:ascii="Times New Roman" w:hAnsi="Times New Roman" w:cs="David"/>
          <w:sz w:val="24"/>
          <w:szCs w:val="24"/>
        </w:rPr>
      </w:pPr>
      <w:r>
        <w:rPr>
          <w:rFonts w:ascii="Times New Roman" w:hAnsi="Times New Roman" w:cs="David" w:hint="cs"/>
          <w:sz w:val="24"/>
          <w:szCs w:val="24"/>
          <w:rtl/>
        </w:rPr>
        <w:t xml:space="preserve">התחייבות להימנע מביצוע עבירה בסך של 200,000 ₪, לבל יעבור הנאשם במשך שלוש שנים מהיום עבירה מן העבירות שבהן הורשע. ההתחייבות תחתם תוך 7 ימים ואם לא תיחתם, ייאסר הנאשם למשך 15 ימים. </w:t>
      </w:r>
    </w:p>
    <w:p w:rsidR="00C1469D" w:rsidRPr="00EE155B" w:rsidRDefault="00C1469D" w:rsidP="00C1469D">
      <w:pPr>
        <w:pStyle w:val="af0"/>
        <w:numPr>
          <w:ilvl w:val="0"/>
          <w:numId w:val="20"/>
        </w:numPr>
        <w:spacing w:after="120" w:line="360" w:lineRule="auto"/>
        <w:jc w:val="both"/>
        <w:rPr>
          <w:rFonts w:ascii="Times New Roman" w:hAnsi="Times New Roman" w:cs="David"/>
          <w:sz w:val="24"/>
          <w:szCs w:val="24"/>
        </w:rPr>
      </w:pPr>
      <w:r>
        <w:rPr>
          <w:rFonts w:ascii="Times New Roman" w:hAnsi="Times New Roman" w:cs="David" w:hint="cs"/>
          <w:sz w:val="24"/>
          <w:szCs w:val="24"/>
          <w:rtl/>
        </w:rPr>
        <w:t xml:space="preserve">אני מורה על חילוט רכוש הנאשם והנאשמת, על פירותיהם, בהתאם לפירוט המופיע בסעיף 5 להסדר הטיעון, כמפורט להלן: </w:t>
      </w:r>
    </w:p>
    <w:p w:rsidR="00C1469D" w:rsidRPr="00C1469D" w:rsidRDefault="00C1469D" w:rsidP="00C1469D">
      <w:pPr>
        <w:pStyle w:val="a"/>
        <w:numPr>
          <w:ilvl w:val="0"/>
          <w:numId w:val="22"/>
        </w:numPr>
        <w:ind w:right="0"/>
        <w:jc w:val="both"/>
        <w:rPr>
          <w:rStyle w:val="default"/>
          <w:rFonts w:ascii="David" w:hAnsi="David" w:cs="David"/>
        </w:rPr>
      </w:pPr>
      <w:r w:rsidRPr="00C1469D">
        <w:rPr>
          <w:rStyle w:val="default"/>
          <w:rFonts w:ascii="David" w:hAnsi="David" w:cs="David"/>
          <w:rtl/>
        </w:rPr>
        <w:lastRenderedPageBreak/>
        <w:t xml:space="preserve">268,733.81 ₪ בחשבון קרן החילוט הלבנת הון המנוהל על ידי יחידת החילוט באפוטרופוס הכללי והכונס הרשמי. </w:t>
      </w:r>
    </w:p>
    <w:p w:rsidR="00C1469D" w:rsidRPr="00C1469D" w:rsidRDefault="00C1469D" w:rsidP="00C1469D">
      <w:pPr>
        <w:pStyle w:val="a"/>
        <w:numPr>
          <w:ilvl w:val="0"/>
          <w:numId w:val="22"/>
        </w:numPr>
        <w:ind w:right="0"/>
        <w:jc w:val="both"/>
        <w:rPr>
          <w:rStyle w:val="default"/>
          <w:rFonts w:ascii="David" w:hAnsi="David" w:cs="David"/>
        </w:rPr>
      </w:pPr>
      <w:r w:rsidRPr="00C1469D">
        <w:rPr>
          <w:rStyle w:val="default"/>
          <w:rFonts w:ascii="David" w:hAnsi="David" w:cs="David"/>
          <w:rtl/>
        </w:rPr>
        <w:t xml:space="preserve">חשבון בן </w:t>
      </w:r>
      <w:proofErr w:type="spellStart"/>
      <w:r w:rsidRPr="00C1469D">
        <w:rPr>
          <w:rStyle w:val="default"/>
          <w:rFonts w:ascii="David" w:hAnsi="David" w:cs="David"/>
          <w:rtl/>
        </w:rPr>
        <w:t>מרכנתיל</w:t>
      </w:r>
      <w:proofErr w:type="spellEnd"/>
      <w:r w:rsidRPr="00C1469D">
        <w:rPr>
          <w:rStyle w:val="default"/>
          <w:rFonts w:ascii="David" w:hAnsi="David" w:cs="David"/>
          <w:rtl/>
        </w:rPr>
        <w:t xml:space="preserve"> סעיף 677, חשבון 39997. סיכום יתרות: 415,888 ₪. </w:t>
      </w:r>
    </w:p>
    <w:p w:rsidR="00C1469D" w:rsidRPr="00C1469D" w:rsidRDefault="00C1469D" w:rsidP="00C1469D">
      <w:pPr>
        <w:pStyle w:val="a"/>
        <w:numPr>
          <w:ilvl w:val="0"/>
          <w:numId w:val="22"/>
        </w:numPr>
        <w:ind w:right="0"/>
        <w:jc w:val="both"/>
        <w:rPr>
          <w:rStyle w:val="default"/>
          <w:rFonts w:ascii="David" w:hAnsi="David" w:cs="David"/>
        </w:rPr>
      </w:pPr>
      <w:r w:rsidRPr="00C1469D">
        <w:rPr>
          <w:rStyle w:val="default"/>
          <w:rFonts w:ascii="David" w:hAnsi="David" w:cs="David"/>
          <w:rtl/>
        </w:rPr>
        <w:t xml:space="preserve">תכשיטים בשווי התפיסה בסך של כ-1,318,112 ₪, התפוסים ביחידת החילוט של המשטרה. </w:t>
      </w:r>
    </w:p>
    <w:p w:rsidR="00C1469D" w:rsidRPr="00C1469D" w:rsidRDefault="00C1469D" w:rsidP="00C1469D">
      <w:pPr>
        <w:pStyle w:val="a"/>
        <w:numPr>
          <w:ilvl w:val="0"/>
          <w:numId w:val="22"/>
        </w:numPr>
        <w:ind w:right="0"/>
        <w:jc w:val="both"/>
        <w:rPr>
          <w:rStyle w:val="default"/>
          <w:rFonts w:ascii="David" w:hAnsi="David" w:cs="David"/>
        </w:rPr>
      </w:pPr>
      <w:r w:rsidRPr="00C1469D">
        <w:rPr>
          <w:rStyle w:val="default"/>
          <w:rFonts w:ascii="David" w:hAnsi="David" w:cs="David"/>
          <w:rtl/>
        </w:rPr>
        <w:t xml:space="preserve">פוליסה בחברת מנורה מבטחים, מספר הפוליסה: 36008456. סך ערכי פדיון: כ-88,665.16 ₪. לטובת קרן החילוט המנוהלת על ידי האפוטרופוס הכללי והממונה על </w:t>
      </w:r>
      <w:proofErr w:type="spellStart"/>
      <w:r w:rsidRPr="00C1469D">
        <w:rPr>
          <w:rStyle w:val="default"/>
          <w:rFonts w:ascii="David" w:hAnsi="David" w:cs="David"/>
          <w:rtl/>
        </w:rPr>
        <w:t>עבנייני</w:t>
      </w:r>
      <w:proofErr w:type="spellEnd"/>
      <w:r w:rsidRPr="00C1469D">
        <w:rPr>
          <w:rStyle w:val="default"/>
          <w:rFonts w:ascii="David" w:hAnsi="David" w:cs="David"/>
          <w:rtl/>
        </w:rPr>
        <w:t xml:space="preserve"> הירושה. </w:t>
      </w:r>
    </w:p>
    <w:p w:rsidR="00C1469D" w:rsidRPr="00C1469D" w:rsidRDefault="00C1469D" w:rsidP="00C1469D">
      <w:pPr>
        <w:pStyle w:val="a"/>
        <w:numPr>
          <w:ilvl w:val="0"/>
          <w:numId w:val="0"/>
        </w:numPr>
        <w:ind w:left="360" w:right="0" w:hanging="360"/>
        <w:jc w:val="both"/>
        <w:rPr>
          <w:rStyle w:val="default"/>
          <w:rFonts w:ascii="David" w:hAnsi="David" w:cs="David"/>
          <w:rtl/>
        </w:rPr>
      </w:pPr>
    </w:p>
    <w:p w:rsidR="00C1469D" w:rsidRPr="00C1469D" w:rsidRDefault="00C1469D" w:rsidP="00C1469D">
      <w:pPr>
        <w:pStyle w:val="a"/>
        <w:numPr>
          <w:ilvl w:val="0"/>
          <w:numId w:val="0"/>
        </w:numPr>
        <w:ind w:left="1080" w:right="0" w:hanging="360"/>
        <w:jc w:val="both"/>
        <w:rPr>
          <w:rStyle w:val="default"/>
          <w:rFonts w:ascii="David" w:hAnsi="David" w:cs="David"/>
          <w:rtl/>
        </w:rPr>
      </w:pPr>
      <w:r w:rsidRPr="00C1469D">
        <w:rPr>
          <w:rStyle w:val="default"/>
          <w:rFonts w:ascii="David" w:hAnsi="David" w:cs="David"/>
          <w:rtl/>
        </w:rPr>
        <w:t xml:space="preserve">בכפוף לחילוט הרכוש המוסכם, יתר הרכוש המבוקש לחילוט ישוחרר כמפורט להלן: </w:t>
      </w:r>
    </w:p>
    <w:p w:rsidR="00C1469D" w:rsidRPr="00C1469D" w:rsidRDefault="00C1469D" w:rsidP="00C1469D">
      <w:pPr>
        <w:pStyle w:val="a"/>
        <w:numPr>
          <w:ilvl w:val="0"/>
          <w:numId w:val="0"/>
        </w:numPr>
        <w:ind w:left="1080" w:right="0" w:hanging="360"/>
        <w:jc w:val="both"/>
        <w:rPr>
          <w:rStyle w:val="default"/>
          <w:rFonts w:ascii="David" w:hAnsi="David" w:cs="David"/>
          <w:rtl/>
        </w:rPr>
      </w:pPr>
      <w:r w:rsidRPr="00C1469D">
        <w:rPr>
          <w:rStyle w:val="default"/>
          <w:rFonts w:ascii="David" w:hAnsi="David" w:cs="David"/>
          <w:rtl/>
        </w:rPr>
        <w:t xml:space="preserve">רכב קרייזלר גרנד </w:t>
      </w:r>
      <w:proofErr w:type="spellStart"/>
      <w:r w:rsidRPr="00C1469D">
        <w:rPr>
          <w:rStyle w:val="default"/>
          <w:rFonts w:ascii="David" w:hAnsi="David" w:cs="David"/>
          <w:rtl/>
        </w:rPr>
        <w:t>צ'רוקי</w:t>
      </w:r>
      <w:proofErr w:type="spellEnd"/>
      <w:r w:rsidRPr="00C1469D">
        <w:rPr>
          <w:rStyle w:val="default"/>
          <w:rFonts w:ascii="David" w:hAnsi="David" w:cs="David"/>
          <w:rtl/>
        </w:rPr>
        <w:t xml:space="preserve">, שנת ייצור 2017, מס' רישוי: 82-937-80. </w:t>
      </w:r>
    </w:p>
    <w:p w:rsidR="006F0AAD" w:rsidRDefault="00C1469D" w:rsidP="00C1469D">
      <w:pPr>
        <w:pStyle w:val="a"/>
        <w:numPr>
          <w:ilvl w:val="0"/>
          <w:numId w:val="0"/>
        </w:numPr>
        <w:ind w:left="1080" w:right="0" w:hanging="360"/>
        <w:jc w:val="both"/>
        <w:rPr>
          <w:rStyle w:val="default"/>
          <w:rFonts w:ascii="David" w:hAnsi="David" w:cs="David"/>
          <w:rtl/>
        </w:rPr>
      </w:pPr>
      <w:r w:rsidRPr="00C1469D">
        <w:rPr>
          <w:rStyle w:val="default"/>
          <w:rFonts w:ascii="David" w:hAnsi="David" w:cs="David"/>
          <w:rtl/>
        </w:rPr>
        <w:t xml:space="preserve">בנוגע לשתי המחאות שנתפסו מהנאשמים, הצדדים יפעלו בהתאם לאמור בהסדר </w:t>
      </w:r>
    </w:p>
    <w:p w:rsidR="00C1469D" w:rsidRDefault="00C1469D" w:rsidP="006F0AAD">
      <w:pPr>
        <w:pStyle w:val="a"/>
        <w:numPr>
          <w:ilvl w:val="0"/>
          <w:numId w:val="0"/>
        </w:numPr>
        <w:ind w:left="360" w:right="0" w:firstLine="360"/>
        <w:jc w:val="both"/>
        <w:rPr>
          <w:rStyle w:val="default"/>
          <w:rFonts w:ascii="David" w:hAnsi="David" w:cs="David"/>
          <w:rtl/>
        </w:rPr>
      </w:pPr>
      <w:r w:rsidRPr="00C1469D">
        <w:rPr>
          <w:rStyle w:val="default"/>
          <w:rFonts w:ascii="David" w:hAnsi="David" w:cs="David"/>
          <w:rtl/>
        </w:rPr>
        <w:t xml:space="preserve">הטיעון. </w:t>
      </w:r>
    </w:p>
    <w:p w:rsidR="006F0AAD" w:rsidRPr="00C1469D" w:rsidRDefault="006F0AAD" w:rsidP="006F0AAD">
      <w:pPr>
        <w:pStyle w:val="a"/>
        <w:numPr>
          <w:ilvl w:val="0"/>
          <w:numId w:val="0"/>
        </w:numPr>
        <w:ind w:left="360" w:right="0" w:firstLine="360"/>
        <w:jc w:val="both"/>
        <w:rPr>
          <w:rStyle w:val="default"/>
          <w:rFonts w:ascii="David" w:hAnsi="David" w:cs="David"/>
          <w:rtl/>
        </w:rPr>
      </w:pPr>
      <w:r>
        <w:rPr>
          <w:rStyle w:val="default"/>
          <w:rFonts w:ascii="David" w:hAnsi="David" w:cs="David" w:hint="cs"/>
          <w:rtl/>
        </w:rPr>
        <w:t xml:space="preserve">כמו כן, אני גוזר על הנאשמת, החברה, קנס סמלי בסך של 100 ₪. </w:t>
      </w:r>
    </w:p>
    <w:p w:rsidR="00C1469D" w:rsidRDefault="00C1469D" w:rsidP="00C1469D">
      <w:pPr>
        <w:pStyle w:val="a0"/>
        <w:numPr>
          <w:ilvl w:val="0"/>
          <w:numId w:val="0"/>
        </w:numPr>
        <w:ind w:left="720"/>
        <w:jc w:val="both"/>
        <w:rPr>
          <w:rtl/>
          <w:lang w:eastAsia="he-IL"/>
        </w:rPr>
      </w:pPr>
    </w:p>
    <w:p w:rsidR="00C1469D" w:rsidRDefault="00C1469D" w:rsidP="006F0AAD">
      <w:pPr>
        <w:pStyle w:val="a0"/>
        <w:numPr>
          <w:ilvl w:val="0"/>
          <w:numId w:val="0"/>
        </w:numPr>
        <w:ind w:left="720"/>
        <w:jc w:val="both"/>
        <w:rPr>
          <w:rStyle w:val="default"/>
          <w:rtl/>
        </w:rPr>
      </w:pPr>
      <w:r w:rsidRPr="002920DE">
        <w:rPr>
          <w:rFonts w:hint="cs"/>
          <w:rtl/>
          <w:lang w:eastAsia="he-IL"/>
        </w:rPr>
        <w:t xml:space="preserve">הנאשם יתייצב לריצוי מאסרו בבית הסוהר הדרים ביום </w:t>
      </w:r>
      <w:r w:rsidR="006F0AAD">
        <w:rPr>
          <w:rFonts w:hint="cs"/>
          <w:rtl/>
          <w:lang w:eastAsia="he-IL"/>
        </w:rPr>
        <w:t>02.02.25</w:t>
      </w:r>
      <w:r>
        <w:rPr>
          <w:rFonts w:hint="cs"/>
          <w:rtl/>
          <w:lang w:eastAsia="he-IL"/>
        </w:rPr>
        <w:t xml:space="preserve"> </w:t>
      </w:r>
      <w:r w:rsidRPr="002920DE">
        <w:rPr>
          <w:rFonts w:hint="cs"/>
          <w:rtl/>
          <w:lang w:eastAsia="he-IL"/>
        </w:rPr>
        <w:t>עד השעה 10:00, כשברשותו תעודת זהות או דרכון</w:t>
      </w:r>
      <w:r>
        <w:rPr>
          <w:rFonts w:hint="cs"/>
          <w:rtl/>
          <w:lang w:eastAsia="he-IL"/>
        </w:rPr>
        <w:t xml:space="preserve"> וגזר הדין</w:t>
      </w:r>
      <w:r w:rsidRPr="002920DE">
        <w:rPr>
          <w:rFonts w:hint="cs"/>
          <w:rtl/>
          <w:lang w:eastAsia="he-IL"/>
        </w:rPr>
        <w:t xml:space="preserve">. על הנאשם לתאם את הכניסה למאסר, כולל האפשרות למיון מוקדם, עם ענף אבחון ומיון של שב"ס, טלפון: </w:t>
      </w:r>
      <w:r>
        <w:rPr>
          <w:rFonts w:hint="cs"/>
          <w:rtl/>
          <w:lang w:eastAsia="he-IL"/>
        </w:rPr>
        <w:t>074-7831077</w:t>
      </w:r>
      <w:r w:rsidRPr="002920DE">
        <w:rPr>
          <w:rFonts w:hint="cs"/>
          <w:rtl/>
          <w:lang w:eastAsia="he-IL"/>
        </w:rPr>
        <w:t>,</w:t>
      </w:r>
      <w:r>
        <w:rPr>
          <w:rFonts w:hint="cs"/>
          <w:rtl/>
          <w:lang w:eastAsia="he-IL"/>
        </w:rPr>
        <w:t xml:space="preserve"> </w:t>
      </w:r>
      <w:r w:rsidRPr="002920DE">
        <w:rPr>
          <w:rFonts w:hint="cs"/>
          <w:rtl/>
          <w:lang w:eastAsia="he-IL"/>
        </w:rPr>
        <w:t xml:space="preserve"> </w:t>
      </w:r>
      <w:r>
        <w:rPr>
          <w:rFonts w:hint="cs"/>
          <w:rtl/>
          <w:lang w:eastAsia="he-IL"/>
        </w:rPr>
        <w:t>074-7831078</w:t>
      </w:r>
      <w:r w:rsidRPr="002920DE">
        <w:rPr>
          <w:rFonts w:hint="cs"/>
          <w:rtl/>
          <w:lang w:eastAsia="he-IL"/>
        </w:rPr>
        <w:t>.</w:t>
      </w:r>
    </w:p>
    <w:p w:rsidR="00C1469D" w:rsidRDefault="00C1469D" w:rsidP="006F0AAD">
      <w:pPr>
        <w:pStyle w:val="a0"/>
        <w:numPr>
          <w:ilvl w:val="0"/>
          <w:numId w:val="0"/>
        </w:numPr>
        <w:ind w:left="720"/>
        <w:jc w:val="both"/>
        <w:rPr>
          <w:rStyle w:val="default"/>
          <w:rFonts w:ascii="David" w:hAnsi="David" w:cs="David"/>
          <w:rtl/>
        </w:rPr>
      </w:pPr>
      <w:r w:rsidRPr="006F0AAD">
        <w:rPr>
          <w:rStyle w:val="default"/>
          <w:rFonts w:ascii="David" w:hAnsi="David" w:cs="David"/>
          <w:rtl/>
        </w:rPr>
        <w:t xml:space="preserve">עד להתייצבות הנאשם </w:t>
      </w:r>
      <w:r w:rsidR="006F0AAD" w:rsidRPr="006F0AAD">
        <w:rPr>
          <w:rStyle w:val="default"/>
          <w:rFonts w:ascii="David" w:hAnsi="David" w:cs="David"/>
          <w:rtl/>
        </w:rPr>
        <w:t>ל</w:t>
      </w:r>
      <w:r w:rsidRPr="006F0AAD">
        <w:rPr>
          <w:rStyle w:val="default"/>
          <w:rFonts w:ascii="David" w:hAnsi="David" w:cs="David"/>
          <w:rtl/>
        </w:rPr>
        <w:t xml:space="preserve">מאסרו, הערבויות הקיימות בהליך </w:t>
      </w:r>
      <w:proofErr w:type="spellStart"/>
      <w:r w:rsidRPr="006F0AAD">
        <w:rPr>
          <w:rStyle w:val="default"/>
          <w:rFonts w:ascii="David" w:hAnsi="David" w:cs="David"/>
          <w:rtl/>
        </w:rPr>
        <w:t>המ"ת</w:t>
      </w:r>
      <w:proofErr w:type="spellEnd"/>
      <w:r w:rsidRPr="006F0AAD">
        <w:rPr>
          <w:rStyle w:val="default"/>
          <w:rFonts w:ascii="David" w:hAnsi="David" w:cs="David"/>
          <w:rtl/>
        </w:rPr>
        <w:t xml:space="preserve"> יוותרו על כנן, וכן צו עיכוב יציאה מן הארץ. </w:t>
      </w:r>
    </w:p>
    <w:p w:rsidR="006F0AAD" w:rsidRPr="006F0AAD" w:rsidRDefault="006F0AAD" w:rsidP="006F0AAD">
      <w:pPr>
        <w:pStyle w:val="a0"/>
        <w:numPr>
          <w:ilvl w:val="0"/>
          <w:numId w:val="0"/>
        </w:numPr>
        <w:ind w:left="720"/>
        <w:jc w:val="both"/>
        <w:rPr>
          <w:rStyle w:val="default"/>
          <w:rFonts w:ascii="David" w:hAnsi="David" w:cs="David"/>
        </w:rPr>
      </w:pPr>
      <w:r>
        <w:rPr>
          <w:rStyle w:val="default"/>
          <w:rFonts w:ascii="David" w:hAnsi="David" w:cs="David" w:hint="cs"/>
          <w:rtl/>
        </w:rPr>
        <w:t xml:space="preserve">למען הסר ספק, יתר תנאי השחרור יסתיימו עם סיום ההליכים. </w:t>
      </w:r>
    </w:p>
    <w:p w:rsidR="00C1469D" w:rsidRDefault="00C1469D" w:rsidP="00C1469D">
      <w:pPr>
        <w:spacing w:after="120" w:line="360" w:lineRule="auto"/>
        <w:rPr>
          <w:rtl/>
        </w:rPr>
      </w:pPr>
      <w:r>
        <w:rPr>
          <w:rFonts w:hint="cs"/>
          <w:rtl/>
        </w:rPr>
        <w:t>ז</w:t>
      </w:r>
      <w:r>
        <w:rPr>
          <w:rtl/>
        </w:rPr>
        <w:t xml:space="preserve">כות ערעור לבית-המשפט העליון, תוך 45 ימים. </w:t>
      </w:r>
    </w:p>
    <w:p w:rsidR="006F0AAD" w:rsidRDefault="006F0AAD" w:rsidP="00C1469D">
      <w:pPr>
        <w:spacing w:after="120" w:line="360" w:lineRule="auto"/>
        <w:rPr>
          <w:sz w:val="6"/>
          <w:szCs w:val="6"/>
        </w:rPr>
      </w:pPr>
      <w:r>
        <w:rPr>
          <w:sz w:val="6"/>
          <w:szCs w:val="6"/>
          <w:rtl/>
        </w:rPr>
        <w:t>&lt;#4#&gt;</w:t>
      </w:r>
    </w:p>
    <w:p w:rsidR="006F0AAD" w:rsidRDefault="006F0AAD" w:rsidP="003B08F6">
      <w:pPr>
        <w:rPr>
          <w:rtl/>
        </w:rPr>
      </w:pPr>
    </w:p>
    <w:p w:rsidR="006F0AAD" w:rsidRDefault="006F0AAD"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ב' תמוז תשפ"ד</w:t>
          </w:r>
        </w:sdtContent>
      </w:sdt>
      <w:r>
        <w:rPr>
          <w:rFonts w:hint="cs"/>
          <w:b/>
          <w:bCs/>
          <w:rtl/>
        </w:rPr>
        <w:t xml:space="preserve">, </w:t>
      </w:r>
      <w:sdt>
        <w:sdtPr>
          <w:rPr>
            <w:rtl/>
          </w:rPr>
          <w:alias w:val="2206"/>
          <w:tag w:val="2206"/>
          <w:id w:val="-1474593809"/>
          <w:text w:multiLine="1"/>
        </w:sdtPr>
        <w:sdtEndPr/>
        <w:sdtContent>
          <w:r>
            <w:rPr>
              <w:b/>
              <w:bCs/>
            </w:rPr>
            <w:t>08/07/2024</w:t>
          </w:r>
        </w:sdtContent>
      </w:sdt>
      <w:r>
        <w:rPr>
          <w:rFonts w:hint="cs"/>
          <w:b/>
          <w:bCs/>
          <w:rtl/>
        </w:rPr>
        <w:t xml:space="preserve"> במעמד הנוכחים.</w:t>
      </w:r>
    </w:p>
    <w:p w:rsidR="006F0AAD" w:rsidRDefault="006F0AAD"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6F0AAD" w:rsidTr="00CB46FB">
        <w:trPr>
          <w:trHeight w:val="316"/>
          <w:jc w:val="right"/>
        </w:trPr>
        <w:tc>
          <w:tcPr>
            <w:tcW w:w="3936" w:type="dxa"/>
            <w:vAlign w:val="center"/>
          </w:tcPr>
          <w:p w:rsidR="006F0AAD" w:rsidRDefault="00073838" w:rsidP="00CB46FB">
            <w:pPr>
              <w:jc w:val="center"/>
            </w:pPr>
            <w:sdt>
              <w:sdtPr>
                <w:rPr>
                  <w:rtl/>
                </w:rPr>
                <w:alias w:val="MergeField"/>
                <w:tag w:val="2144"/>
                <w:id w:val="1834409443"/>
              </w:sdtPr>
              <w:sdtEndPr/>
              <w:sdtContent>
                <w:r w:rsidR="006F0AAD">
                  <w:rPr>
                    <w:noProof/>
                  </w:rPr>
                  <w:drawing>
                    <wp:inline distT="0" distB="0" distL="0" distR="0" wp14:editId="50D07946">
                      <wp:extent cx="152400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524000" cy="514350"/>
                              </a:xfrm>
                              <a:prstGeom prst="rect">
                                <a:avLst/>
                              </a:prstGeom>
                            </pic:spPr>
                          </pic:pic>
                        </a:graphicData>
                      </a:graphic>
                    </wp:inline>
                  </w:drawing>
                </w:r>
              </w:sdtContent>
            </w:sdt>
          </w:p>
          <w:p w:rsidR="006F0AAD" w:rsidRDefault="006F0AAD" w:rsidP="00CB46FB">
            <w:pPr>
              <w:jc w:val="center"/>
              <w:rPr>
                <w:rtl/>
              </w:rPr>
            </w:pPr>
          </w:p>
        </w:tc>
      </w:tr>
      <w:tr w:rsidR="006F0AAD" w:rsidTr="00CB46FB">
        <w:trPr>
          <w:trHeight w:val="361"/>
          <w:jc w:val="right"/>
        </w:trPr>
        <w:tc>
          <w:tcPr>
            <w:tcW w:w="3936" w:type="dxa"/>
            <w:vAlign w:val="center"/>
          </w:tcPr>
          <w:p w:rsidR="006F0AAD" w:rsidRPr="00C02017" w:rsidRDefault="00073838" w:rsidP="00CB46FB">
            <w:pPr>
              <w:jc w:val="center"/>
              <w:rPr>
                <w:rFonts w:cs="David"/>
                <w:b/>
                <w:bCs/>
                <w:rtl/>
              </w:rPr>
            </w:pPr>
            <w:sdt>
              <w:sdtPr>
                <w:rPr>
                  <w:b/>
                  <w:bCs/>
                  <w:rtl/>
                </w:rPr>
                <w:alias w:val="2141"/>
                <w:tag w:val="2141"/>
                <w:id w:val="2119712613"/>
                <w:placeholder>
                  <w:docPart w:val="CA684D0CDEE84A639D3D70AB6C667432"/>
                </w:placeholder>
                <w:text w:multiLine="1"/>
              </w:sdtPr>
              <w:sdtEndPr/>
              <w:sdtContent>
                <w:r w:rsidR="006F0AAD">
                  <w:rPr>
                    <w:rFonts w:cs="David"/>
                    <w:b/>
                    <w:bCs/>
                    <w:rtl/>
                  </w:rPr>
                  <w:t>עמי</w:t>
                </w:r>
              </w:sdtContent>
            </w:sdt>
            <w:r w:rsidR="006F0AAD" w:rsidRPr="00C02017">
              <w:rPr>
                <w:rFonts w:cs="David" w:hint="cs"/>
                <w:b/>
                <w:bCs/>
                <w:rtl/>
              </w:rPr>
              <w:t xml:space="preserve"> </w:t>
            </w:r>
            <w:sdt>
              <w:sdtPr>
                <w:rPr>
                  <w:rFonts w:hint="cs"/>
                  <w:b/>
                  <w:bCs/>
                  <w:rtl/>
                </w:rPr>
                <w:alias w:val="2142"/>
                <w:tag w:val="2142"/>
                <w:id w:val="-26639521"/>
                <w:placeholder>
                  <w:docPart w:val="6F5AAD4E0C484F919DD71EAF239B33C7"/>
                </w:placeholder>
                <w:text w:multiLine="1"/>
              </w:sdtPr>
              <w:sdtEndPr/>
              <w:sdtContent>
                <w:r w:rsidR="006F0AAD">
                  <w:rPr>
                    <w:rFonts w:cs="David"/>
                    <w:b/>
                    <w:bCs/>
                    <w:rtl/>
                  </w:rPr>
                  <w:t>קובו</w:t>
                </w:r>
              </w:sdtContent>
            </w:sdt>
            <w:r w:rsidR="006F0AAD" w:rsidRPr="00C02017">
              <w:rPr>
                <w:rFonts w:cs="David" w:hint="cs"/>
                <w:b/>
                <w:bCs/>
                <w:rtl/>
              </w:rPr>
              <w:t xml:space="preserve">, </w:t>
            </w:r>
            <w:sdt>
              <w:sdtPr>
                <w:rPr>
                  <w:rFonts w:hint="cs"/>
                  <w:b/>
                  <w:bCs/>
                  <w:rtl/>
                </w:rPr>
                <w:alias w:val="2143"/>
                <w:tag w:val="2143"/>
                <w:id w:val="1647695366"/>
                <w:placeholder>
                  <w:docPart w:val="2F93622FBBE94C6ABCFC5953B3E43FC1"/>
                </w:placeholder>
                <w:text w:multiLine="1"/>
              </w:sdtPr>
              <w:sdtEndPr/>
              <w:sdtContent>
                <w:r w:rsidR="006F0AAD">
                  <w:rPr>
                    <w:rFonts w:cs="David"/>
                    <w:b/>
                    <w:bCs/>
                    <w:rtl/>
                  </w:rPr>
                  <w:t>שופט, סגן הנשיאה</w:t>
                </w:r>
              </w:sdtContent>
            </w:sdt>
          </w:p>
        </w:tc>
      </w:tr>
    </w:tbl>
    <w:p w:rsidR="006F0AAD" w:rsidRPr="00C82789" w:rsidRDefault="00C82789" w:rsidP="00C82789">
      <w:pPr>
        <w:jc w:val="both"/>
      </w:pPr>
      <w:r>
        <w:rPr>
          <w:rtl/>
        </w:rPr>
        <w:t xml:space="preserve"> </w:t>
      </w:r>
    </w:p>
    <w:p w:rsidR="00621150" w:rsidRDefault="009C202E">
      <w:r>
        <w:rPr>
          <w:rtl/>
        </w:rPr>
        <w:t>הוקלד</w:t>
      </w:r>
      <w:r>
        <w:t xml:space="preserve"> </w:t>
      </w:r>
      <w:r>
        <w:rPr>
          <w:rtl/>
        </w:rPr>
        <w:t>על</w:t>
      </w:r>
      <w:r>
        <w:t xml:space="preserve"> </w:t>
      </w:r>
      <w:r>
        <w:rPr>
          <w:rtl/>
        </w:rPr>
        <w:t>ידי</w:t>
      </w:r>
      <w:r>
        <w:t xml:space="preserve"> </w:t>
      </w:r>
      <w:r>
        <w:rPr>
          <w:rtl/>
        </w:rPr>
        <w:t>ליאת</w:t>
      </w:r>
      <w:r>
        <w:t xml:space="preserve"> </w:t>
      </w:r>
      <w:r>
        <w:rPr>
          <w:rtl/>
        </w:rPr>
        <w:t>קחלון</w:t>
      </w:r>
    </w:p>
    <w:sectPr w:rsidR="00621150" w:rsidSect="00C82789">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1077" w:footer="1157" w:gutter="0"/>
      <w:lnNumType w:countBy="1"/>
      <w:pgNumType w:start="893"/>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838" w:rsidRDefault="00073838">
      <w:r>
        <w:separator/>
      </w:r>
    </w:p>
  </w:endnote>
  <w:endnote w:type="continuationSeparator" w:id="0">
    <w:p w:rsidR="00073838" w:rsidRDefault="0007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59E" w:rsidRDefault="0081159E" w:rsidP="003B07CD">
    <w:pPr>
      <w:pStyle w:val="a6"/>
      <w:framePr w:wrap="around" w:vAnchor="text" w:hAnchor="text" w:xAlign="center" w:y="1"/>
      <w:rPr>
        <w:rStyle w:val="ab"/>
      </w:rPr>
    </w:pPr>
    <w:r>
      <w:rPr>
        <w:rStyle w:val="ab"/>
        <w:rtl/>
      </w:rPr>
      <w:fldChar w:fldCharType="begin"/>
    </w:r>
    <w:r>
      <w:rPr>
        <w:rStyle w:val="ab"/>
      </w:rPr>
      <w:instrText xml:space="preserve"> PAGE </w:instrText>
    </w:r>
    <w:r>
      <w:rPr>
        <w:rStyle w:val="ab"/>
        <w:rtl/>
      </w:rPr>
      <w:fldChar w:fldCharType="separate"/>
    </w:r>
    <w:r>
      <w:rPr>
        <w:rStyle w:val="ab"/>
        <w:noProof/>
        <w:rtl/>
      </w:rPr>
      <w:t>893</w:t>
    </w:r>
    <w:r>
      <w:rPr>
        <w:rStyle w:val="ab"/>
        <w:rtl/>
      </w:rPr>
      <w:fldChar w:fldCharType="end"/>
    </w:r>
  </w:p>
  <w:p w:rsidR="0081159E" w:rsidRDefault="0081159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59E" w:rsidRDefault="0081159E" w:rsidP="003B07CD">
    <w:pPr>
      <w:pStyle w:val="a6"/>
      <w:framePr w:wrap="around" w:vAnchor="text" w:hAnchor="text" w:xAlign="center" w:y="1"/>
      <w:rPr>
        <w:rStyle w:val="ab"/>
      </w:rPr>
    </w:pPr>
    <w:r>
      <w:rPr>
        <w:rStyle w:val="ab"/>
        <w:rtl/>
      </w:rPr>
      <w:fldChar w:fldCharType="begin"/>
    </w:r>
    <w:r>
      <w:rPr>
        <w:rStyle w:val="ab"/>
      </w:rPr>
      <w:instrText xml:space="preserve"> PAGE </w:instrText>
    </w:r>
    <w:r>
      <w:rPr>
        <w:rStyle w:val="ab"/>
        <w:rtl/>
      </w:rPr>
      <w:fldChar w:fldCharType="separate"/>
    </w:r>
    <w:r w:rsidR="00B953D1">
      <w:rPr>
        <w:rStyle w:val="ab"/>
        <w:noProof/>
        <w:rtl/>
      </w:rPr>
      <w:t>893</w:t>
    </w:r>
    <w:r>
      <w:rPr>
        <w:rStyle w:val="ab"/>
        <w:rtl/>
      </w:rPr>
      <w:fldChar w:fldCharType="end"/>
    </w:r>
  </w:p>
  <w:p w:rsidR="0081159E" w:rsidRDefault="0081159E">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9F2" w:rsidRDefault="00A639F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838" w:rsidRDefault="00073838">
      <w:r>
        <w:separator/>
      </w:r>
    </w:p>
  </w:footnote>
  <w:footnote w:type="continuationSeparator" w:id="0">
    <w:p w:rsidR="00073838" w:rsidRDefault="00073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9F2" w:rsidRDefault="00A639F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Fonts w:hint="cs"/>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6"/>
      <w:gridCol w:w="236"/>
      <w:gridCol w:w="2042"/>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מרכז-לוד</w:t>
              </w:r>
            </w:p>
          </w:tc>
        </w:sdtContent>
      </w:sdt>
    </w:tr>
    <w:tr w:rsidR="00EB1D9D" w:rsidTr="00A04531">
      <w:trPr>
        <w:trHeight w:val="337"/>
        <w:jc w:val="center"/>
      </w:trPr>
      <w:tc>
        <w:tcPr>
          <w:tcW w:w="6396" w:type="dxa"/>
        </w:tcPr>
        <w:p w:rsidR="00EB1D9D" w:rsidRDefault="00073838">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9339C">
                <w:rPr>
                  <w:b/>
                  <w:bCs/>
                  <w:sz w:val="26"/>
                  <w:szCs w:val="26"/>
                  <w:rtl/>
                </w:rPr>
                <w:t>50575-09-19</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פרוינד ואח'</w:t>
              </w:r>
            </w:sdtContent>
          </w:sdt>
        </w:p>
        <w:p w:rsidR="00EB1D9D" w:rsidRDefault="00073838">
          <w:pPr>
            <w:rPr>
              <w:b/>
              <w:bCs/>
              <w:sz w:val="26"/>
              <w:szCs w:val="26"/>
              <w:rtl/>
            </w:rPr>
          </w:pPr>
          <w:sdt>
            <w:sdtPr>
              <w:rPr>
                <w:rtl/>
              </w:rPr>
              <w:alias w:val="849"/>
              <w:tag w:val="849"/>
              <w:id w:val="-402997161"/>
              <w:text w:multiLine="1"/>
            </w:sdtPr>
            <w:sdtEndPr/>
            <w:sdtContent>
              <w:r w:rsidR="0089339C">
                <w:rPr>
                  <w:b/>
                  <w:bCs/>
                  <w:sz w:val="26"/>
                  <w:szCs w:val="26"/>
                  <w:rtl/>
                </w:rPr>
                <w:t>ת"פ</w:t>
              </w:r>
            </w:sdtContent>
          </w:sdt>
          <w:r w:rsidR="00E679BB">
            <w:rPr>
              <w:rFonts w:hint="cs"/>
              <w:b/>
              <w:bCs/>
              <w:sz w:val="26"/>
              <w:szCs w:val="26"/>
              <w:rtl/>
            </w:rPr>
            <w:t xml:space="preserve"> </w:t>
          </w:r>
          <w:sdt>
            <w:sdtPr>
              <w:rPr>
                <w:rtl/>
              </w:rPr>
              <w:alias w:val="158"/>
              <w:tag w:val="158"/>
              <w:id w:val="952746396"/>
              <w:text w:multiLine="1"/>
            </w:sdtPr>
            <w:sdtEndPr/>
            <w:sdtContent>
              <w:r w:rsidR="0089339C">
                <w:rPr>
                  <w:b/>
                  <w:bCs/>
                  <w:sz w:val="26"/>
                  <w:szCs w:val="26"/>
                  <w:rtl/>
                </w:rPr>
                <w:t>21530-07-20</w:t>
              </w:r>
            </w:sdtContent>
          </w:sdt>
          <w:r w:rsidR="00E679BB">
            <w:rPr>
              <w:rFonts w:hint="cs"/>
              <w:b/>
              <w:bCs/>
              <w:sz w:val="26"/>
              <w:szCs w:val="26"/>
              <w:rtl/>
            </w:rPr>
            <w:t xml:space="preserve"> </w:t>
          </w:r>
          <w:sdt>
            <w:sdtPr>
              <w:rPr>
                <w:rtl/>
              </w:rPr>
              <w:alias w:val="293"/>
              <w:tag w:val="293"/>
              <w:id w:val="-596552137"/>
              <w:text w:multiLine="1"/>
            </w:sdtPr>
            <w:sdtEndPr/>
            <w:sdtContent>
              <w:r w:rsidR="0089339C">
                <w:rPr>
                  <w:b/>
                  <w:bCs/>
                  <w:sz w:val="26"/>
                  <w:szCs w:val="26"/>
                  <w:rtl/>
                </w:rPr>
                <w:t xml:space="preserve">מדינת ישראל נ' </w:t>
              </w:r>
              <w:proofErr w:type="spellStart"/>
              <w:r w:rsidR="0089339C">
                <w:rPr>
                  <w:b/>
                  <w:bCs/>
                  <w:sz w:val="26"/>
                  <w:szCs w:val="26"/>
                  <w:rtl/>
                </w:rPr>
                <w:t>ישראילוב</w:t>
              </w:r>
              <w:proofErr w:type="spellEnd"/>
              <w:r w:rsidR="0089339C">
                <w:rPr>
                  <w:b/>
                  <w:bCs/>
                  <w:sz w:val="26"/>
                  <w:szCs w:val="26"/>
                  <w:rtl/>
                </w:rPr>
                <w:t xml:space="preserve"> ואח'</w:t>
              </w:r>
            </w:sdtContent>
          </w:sdt>
        </w:p>
        <w:p w:rsidR="00091461" w:rsidRDefault="00091461">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08 יולי 2024</w:t>
              </w:r>
            </w:p>
          </w:tc>
        </w:sdtContent>
      </w:sdt>
    </w:tr>
  </w:tbl>
  <w:p w:rsidR="00EB1D9D" w:rsidRDefault="00EB1D9D">
    <w:pPr>
      <w:pStyle w:val="a5"/>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9F2" w:rsidRDefault="00A639F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C812F838"/>
    <w:lvl w:ilvl="0">
      <w:start w:val="1"/>
      <w:numFmt w:val="decimal"/>
      <w:pStyle w:val="a"/>
      <w:lvlText w:val="%1."/>
      <w:lvlJc w:val="left"/>
      <w:pPr>
        <w:tabs>
          <w:tab w:val="num" w:pos="360"/>
        </w:tabs>
        <w:ind w:left="360" w:right="360" w:hanging="360"/>
      </w:pPr>
    </w:lvl>
    <w:lvl w:ilvl="1">
      <w:start w:val="1"/>
      <w:numFmt w:val="decimal"/>
      <w:isLgl/>
      <w:lvlText w:val="%1.%2"/>
      <w:lvlJc w:val="left"/>
      <w:pPr>
        <w:tabs>
          <w:tab w:val="num" w:pos="360"/>
        </w:tabs>
        <w:ind w:left="360" w:right="360" w:hanging="360"/>
      </w:pPr>
      <w:rPr>
        <w:rFonts w:hint="cs"/>
      </w:rPr>
    </w:lvl>
    <w:lvl w:ilvl="2">
      <w:start w:val="1"/>
      <w:numFmt w:val="decimal"/>
      <w:isLgl/>
      <w:lvlText w:val="%1.%2.%3"/>
      <w:lvlJc w:val="left"/>
      <w:pPr>
        <w:tabs>
          <w:tab w:val="num" w:pos="720"/>
        </w:tabs>
        <w:ind w:left="720" w:right="720" w:hanging="720"/>
      </w:pPr>
      <w:rPr>
        <w:rFonts w:hint="cs"/>
      </w:rPr>
    </w:lvl>
    <w:lvl w:ilvl="3">
      <w:start w:val="1"/>
      <w:numFmt w:val="decimal"/>
      <w:isLgl/>
      <w:lvlText w:val="%1.%2.%3.%4"/>
      <w:lvlJc w:val="left"/>
      <w:pPr>
        <w:tabs>
          <w:tab w:val="num" w:pos="720"/>
        </w:tabs>
        <w:ind w:left="720" w:right="720" w:hanging="720"/>
      </w:pPr>
      <w:rPr>
        <w:rFonts w:hint="cs"/>
      </w:rPr>
    </w:lvl>
    <w:lvl w:ilvl="4">
      <w:start w:val="1"/>
      <w:numFmt w:val="decimal"/>
      <w:isLgl/>
      <w:lvlText w:val="%1.%2.%3.%4.%5"/>
      <w:lvlJc w:val="left"/>
      <w:pPr>
        <w:tabs>
          <w:tab w:val="num" w:pos="1080"/>
        </w:tabs>
        <w:ind w:left="1080" w:right="1080" w:hanging="1080"/>
      </w:pPr>
      <w:rPr>
        <w:rFonts w:hint="cs"/>
      </w:rPr>
    </w:lvl>
    <w:lvl w:ilvl="5">
      <w:start w:val="1"/>
      <w:numFmt w:val="decimal"/>
      <w:isLgl/>
      <w:lvlText w:val="%1.%2.%3.%4.%5.%6"/>
      <w:lvlJc w:val="left"/>
      <w:pPr>
        <w:tabs>
          <w:tab w:val="num" w:pos="1080"/>
        </w:tabs>
        <w:ind w:left="1080" w:right="1080" w:hanging="1080"/>
      </w:pPr>
      <w:rPr>
        <w:rFonts w:hint="cs"/>
      </w:rPr>
    </w:lvl>
    <w:lvl w:ilvl="6">
      <w:start w:val="1"/>
      <w:numFmt w:val="decimal"/>
      <w:isLgl/>
      <w:lvlText w:val="%1.%2.%3.%4.%5.%6.%7"/>
      <w:lvlJc w:val="left"/>
      <w:pPr>
        <w:tabs>
          <w:tab w:val="num" w:pos="1080"/>
        </w:tabs>
        <w:ind w:left="1080" w:right="1080" w:hanging="1080"/>
      </w:pPr>
      <w:rPr>
        <w:rFonts w:hint="cs"/>
      </w:rPr>
    </w:lvl>
    <w:lvl w:ilvl="7">
      <w:start w:val="1"/>
      <w:numFmt w:val="decimal"/>
      <w:isLgl/>
      <w:lvlText w:val="%1.%2.%3.%4.%5.%6.%7.%8"/>
      <w:lvlJc w:val="left"/>
      <w:pPr>
        <w:tabs>
          <w:tab w:val="num" w:pos="1440"/>
        </w:tabs>
        <w:ind w:left="1440" w:right="1440" w:hanging="1440"/>
      </w:pPr>
      <w:rPr>
        <w:rFonts w:hint="cs"/>
      </w:rPr>
    </w:lvl>
    <w:lvl w:ilvl="8">
      <w:start w:val="1"/>
      <w:numFmt w:val="decimal"/>
      <w:isLgl/>
      <w:lvlText w:val="%1.%2.%3.%4.%5.%6.%7.%8.%9"/>
      <w:lvlJc w:val="left"/>
      <w:pPr>
        <w:tabs>
          <w:tab w:val="num" w:pos="1440"/>
        </w:tabs>
        <w:ind w:left="1440" w:right="1440" w:hanging="1440"/>
      </w:pPr>
      <w:rPr>
        <w:rFonts w:hint="cs"/>
      </w:rPr>
    </w:lvl>
  </w:abstractNum>
  <w:abstractNum w:abstractNumId="1" w15:restartNumberingAfterBreak="0">
    <w:nsid w:val="1C5E6DF5"/>
    <w:multiLevelType w:val="hybridMultilevel"/>
    <w:tmpl w:val="8B861232"/>
    <w:lvl w:ilvl="0" w:tplc="800A5CAC">
      <w:start w:val="1"/>
      <w:numFmt w:val="decimal"/>
      <w:pStyle w:val="a0"/>
      <w:lvlText w:val="%1."/>
      <w:lvlJc w:val="left"/>
      <w:pPr>
        <w:tabs>
          <w:tab w:val="num" w:pos="720"/>
        </w:tabs>
        <w:ind w:left="720" w:hanging="720"/>
      </w:pPr>
      <w:rPr>
        <w:rFonts w:hint="default"/>
        <w:b w:val="0"/>
        <w:bCs w:val="0"/>
      </w:rPr>
    </w:lvl>
    <w:lvl w:ilvl="1" w:tplc="FEB4E978">
      <w:start w:val="1"/>
      <w:numFmt w:val="hebrew1"/>
      <w:lvlText w:val="%2."/>
      <w:lvlJc w:val="left"/>
      <w:pPr>
        <w:tabs>
          <w:tab w:val="num" w:pos="1620"/>
        </w:tabs>
        <w:ind w:left="1620" w:hanging="360"/>
      </w:pPr>
      <w:rPr>
        <w:rFonts w:hint="default"/>
        <w:b w:val="0"/>
        <w:bCs w:val="0"/>
      </w:rPr>
    </w:lvl>
    <w:lvl w:ilvl="2" w:tplc="C3B0CB38">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4"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5"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DD66F99"/>
    <w:multiLevelType w:val="hybridMultilevel"/>
    <w:tmpl w:val="AE489E04"/>
    <w:lvl w:ilvl="0" w:tplc="136ED04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6CC3A4E"/>
    <w:multiLevelType w:val="hybridMultilevel"/>
    <w:tmpl w:val="DB96A68E"/>
    <w:lvl w:ilvl="0" w:tplc="37505856">
      <w:start w:val="1"/>
      <w:numFmt w:val="hebrew1"/>
      <w:lvlText w:val="%1."/>
      <w:lvlJc w:val="left"/>
      <w:pPr>
        <w:ind w:left="1080" w:hanging="360"/>
      </w:pPr>
      <w:rPr>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2"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4"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8"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AAB7398"/>
    <w:multiLevelType w:val="hybridMultilevel"/>
    <w:tmpl w:val="0B40ED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1"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8"/>
  </w:num>
  <w:num w:numId="2">
    <w:abstractNumId w:val="9"/>
  </w:num>
  <w:num w:numId="3">
    <w:abstractNumId w:val="16"/>
  </w:num>
  <w:num w:numId="4">
    <w:abstractNumId w:val="15"/>
  </w:num>
  <w:num w:numId="5">
    <w:abstractNumId w:val="6"/>
  </w:num>
  <w:num w:numId="6">
    <w:abstractNumId w:val="10"/>
  </w:num>
  <w:num w:numId="7">
    <w:abstractNumId w:val="21"/>
  </w:num>
  <w:num w:numId="8">
    <w:abstractNumId w:val="2"/>
  </w:num>
  <w:num w:numId="9">
    <w:abstractNumId w:val="14"/>
  </w:num>
  <w:num w:numId="10">
    <w:abstractNumId w:val="12"/>
  </w:num>
  <w:num w:numId="11">
    <w:abstractNumId w:val="5"/>
  </w:num>
  <w:num w:numId="12">
    <w:abstractNumId w:val="20"/>
  </w:num>
  <w:num w:numId="13">
    <w:abstractNumId w:val="13"/>
  </w:num>
  <w:num w:numId="14">
    <w:abstractNumId w:val="4"/>
  </w:num>
  <w:num w:numId="15">
    <w:abstractNumId w:val="17"/>
  </w:num>
  <w:num w:numId="16">
    <w:abstractNumId w:val="3"/>
  </w:num>
  <w:num w:numId="17">
    <w:abstractNumId w:val="11"/>
  </w:num>
  <w:num w:numId="18">
    <w:abstractNumId w:val="0"/>
  </w:num>
  <w:num w:numId="19">
    <w:abstractNumId w:val="1"/>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0575-09-19"/>
    <w:docVar w:name="caseId" w:val="76798880"/>
    <w:docVar w:name="deriveClass" w:val="NGCS.Protocol.BL.Client.ProtocolBLClientCriminal"/>
    <w:docVar w:name="firstPageNumber" w:val="893"/>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1"/>
    <w:docVar w:name="protocolId" w:val="14652267"/>
    <w:docVar w:name="releaseSign" w:val="0"/>
    <w:docVar w:name="sittingDateTime" w:val="08/07/2024 11:30     "/>
    <w:docVar w:name="sittingId" w:val="97733262"/>
    <w:docVar w:name="sittingTypeId" w:val="2"/>
    <w:docVar w:name="WordClientAssemblyName" w:val="NGCS.Protocol.BL.Client"/>
    <w:docVar w:name="WordClientClassName" w:val="NGCS.Templates.UIP.TemplateWordClient"/>
  </w:docVars>
  <w:rsids>
    <w:rsidRoot w:val="00EB1D9D"/>
    <w:rsid w:val="0000736A"/>
    <w:rsid w:val="00014F26"/>
    <w:rsid w:val="00016C3B"/>
    <w:rsid w:val="00027D7B"/>
    <w:rsid w:val="00030486"/>
    <w:rsid w:val="000309E2"/>
    <w:rsid w:val="00032A68"/>
    <w:rsid w:val="00053909"/>
    <w:rsid w:val="000555F0"/>
    <w:rsid w:val="000608AB"/>
    <w:rsid w:val="00073838"/>
    <w:rsid w:val="00074BD2"/>
    <w:rsid w:val="00091461"/>
    <w:rsid w:val="000A4C4B"/>
    <w:rsid w:val="000B1651"/>
    <w:rsid w:val="000C3D5F"/>
    <w:rsid w:val="000C7499"/>
    <w:rsid w:val="000E37CD"/>
    <w:rsid w:val="000E7C9C"/>
    <w:rsid w:val="00100FD9"/>
    <w:rsid w:val="00115104"/>
    <w:rsid w:val="00130DA3"/>
    <w:rsid w:val="00131385"/>
    <w:rsid w:val="0013543E"/>
    <w:rsid w:val="00137D59"/>
    <w:rsid w:val="0014434E"/>
    <w:rsid w:val="001526FC"/>
    <w:rsid w:val="0016231B"/>
    <w:rsid w:val="00163279"/>
    <w:rsid w:val="001666D0"/>
    <w:rsid w:val="001705B8"/>
    <w:rsid w:val="00174C6C"/>
    <w:rsid w:val="00180246"/>
    <w:rsid w:val="001A63A4"/>
    <w:rsid w:val="001E6DFB"/>
    <w:rsid w:val="002063A6"/>
    <w:rsid w:val="00227A15"/>
    <w:rsid w:val="00237F64"/>
    <w:rsid w:val="00245547"/>
    <w:rsid w:val="002736EA"/>
    <w:rsid w:val="00296868"/>
    <w:rsid w:val="002A1C94"/>
    <w:rsid w:val="002E24EE"/>
    <w:rsid w:val="002F455E"/>
    <w:rsid w:val="002F5A82"/>
    <w:rsid w:val="00301481"/>
    <w:rsid w:val="00334480"/>
    <w:rsid w:val="00340759"/>
    <w:rsid w:val="0034100C"/>
    <w:rsid w:val="003411B9"/>
    <w:rsid w:val="00342D84"/>
    <w:rsid w:val="00347ACF"/>
    <w:rsid w:val="003F6EFC"/>
    <w:rsid w:val="00434548"/>
    <w:rsid w:val="00440118"/>
    <w:rsid w:val="00442655"/>
    <w:rsid w:val="00445270"/>
    <w:rsid w:val="004473FE"/>
    <w:rsid w:val="004752AF"/>
    <w:rsid w:val="00486DEE"/>
    <w:rsid w:val="00494C2F"/>
    <w:rsid w:val="004C0CA7"/>
    <w:rsid w:val="004D4B57"/>
    <w:rsid w:val="004F4B4A"/>
    <w:rsid w:val="00503959"/>
    <w:rsid w:val="00510083"/>
    <w:rsid w:val="00532A9F"/>
    <w:rsid w:val="0054779E"/>
    <w:rsid w:val="00551705"/>
    <w:rsid w:val="00560CB1"/>
    <w:rsid w:val="00564AAC"/>
    <w:rsid w:val="00577444"/>
    <w:rsid w:val="0058186B"/>
    <w:rsid w:val="005832BA"/>
    <w:rsid w:val="00594F89"/>
    <w:rsid w:val="005B395D"/>
    <w:rsid w:val="005D47FD"/>
    <w:rsid w:val="005D68B0"/>
    <w:rsid w:val="005D6FD9"/>
    <w:rsid w:val="00600219"/>
    <w:rsid w:val="00601F75"/>
    <w:rsid w:val="006110FD"/>
    <w:rsid w:val="00612093"/>
    <w:rsid w:val="0061652F"/>
    <w:rsid w:val="00620E3F"/>
    <w:rsid w:val="00621150"/>
    <w:rsid w:val="00623CCF"/>
    <w:rsid w:val="00631222"/>
    <w:rsid w:val="00633BA9"/>
    <w:rsid w:val="00635C8E"/>
    <w:rsid w:val="006424C7"/>
    <w:rsid w:val="006830E7"/>
    <w:rsid w:val="006A4D3D"/>
    <w:rsid w:val="006B2435"/>
    <w:rsid w:val="006B639D"/>
    <w:rsid w:val="006C061B"/>
    <w:rsid w:val="006C2240"/>
    <w:rsid w:val="006D72D1"/>
    <w:rsid w:val="006E3A90"/>
    <w:rsid w:val="006F0AAD"/>
    <w:rsid w:val="006F0E02"/>
    <w:rsid w:val="00700409"/>
    <w:rsid w:val="00701199"/>
    <w:rsid w:val="007378AE"/>
    <w:rsid w:val="007378FE"/>
    <w:rsid w:val="00754308"/>
    <w:rsid w:val="00770F7C"/>
    <w:rsid w:val="00781736"/>
    <w:rsid w:val="00791EB6"/>
    <w:rsid w:val="007B6499"/>
    <w:rsid w:val="007C0D02"/>
    <w:rsid w:val="007D4DDF"/>
    <w:rsid w:val="007D71BF"/>
    <w:rsid w:val="007E4ADE"/>
    <w:rsid w:val="007E70E3"/>
    <w:rsid w:val="007F46CA"/>
    <w:rsid w:val="007F4959"/>
    <w:rsid w:val="008100EF"/>
    <w:rsid w:val="0081159E"/>
    <w:rsid w:val="0081212E"/>
    <w:rsid w:val="008138D1"/>
    <w:rsid w:val="008147C4"/>
    <w:rsid w:val="00816980"/>
    <w:rsid w:val="00833BD9"/>
    <w:rsid w:val="0083639D"/>
    <w:rsid w:val="008411C5"/>
    <w:rsid w:val="0085535F"/>
    <w:rsid w:val="0087279B"/>
    <w:rsid w:val="0088033E"/>
    <w:rsid w:val="008807D4"/>
    <w:rsid w:val="0088228B"/>
    <w:rsid w:val="0089339C"/>
    <w:rsid w:val="008B5819"/>
    <w:rsid w:val="008D15AB"/>
    <w:rsid w:val="008D5D81"/>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903E6"/>
    <w:rsid w:val="009A5E6A"/>
    <w:rsid w:val="009B24E2"/>
    <w:rsid w:val="009C08D6"/>
    <w:rsid w:val="009C202E"/>
    <w:rsid w:val="009D7934"/>
    <w:rsid w:val="009E46EC"/>
    <w:rsid w:val="009E6E0A"/>
    <w:rsid w:val="009F69AB"/>
    <w:rsid w:val="00A04531"/>
    <w:rsid w:val="00A1573A"/>
    <w:rsid w:val="00A25356"/>
    <w:rsid w:val="00A25A2D"/>
    <w:rsid w:val="00A639F2"/>
    <w:rsid w:val="00A64302"/>
    <w:rsid w:val="00A64696"/>
    <w:rsid w:val="00A67D1A"/>
    <w:rsid w:val="00A910BF"/>
    <w:rsid w:val="00A9385E"/>
    <w:rsid w:val="00AA3C0A"/>
    <w:rsid w:val="00AB1CE7"/>
    <w:rsid w:val="00AC7677"/>
    <w:rsid w:val="00AD1366"/>
    <w:rsid w:val="00B04791"/>
    <w:rsid w:val="00B24CA7"/>
    <w:rsid w:val="00B30584"/>
    <w:rsid w:val="00B44123"/>
    <w:rsid w:val="00B6568E"/>
    <w:rsid w:val="00B66459"/>
    <w:rsid w:val="00B82C03"/>
    <w:rsid w:val="00B870E1"/>
    <w:rsid w:val="00B953D1"/>
    <w:rsid w:val="00B96F12"/>
    <w:rsid w:val="00BA3141"/>
    <w:rsid w:val="00BD13A0"/>
    <w:rsid w:val="00BF00B0"/>
    <w:rsid w:val="00C1469D"/>
    <w:rsid w:val="00C369D3"/>
    <w:rsid w:val="00C42441"/>
    <w:rsid w:val="00C4595F"/>
    <w:rsid w:val="00C471D1"/>
    <w:rsid w:val="00C50277"/>
    <w:rsid w:val="00C518EA"/>
    <w:rsid w:val="00C667A1"/>
    <w:rsid w:val="00C82789"/>
    <w:rsid w:val="00C8613B"/>
    <w:rsid w:val="00CA022A"/>
    <w:rsid w:val="00CA26CF"/>
    <w:rsid w:val="00CB6B34"/>
    <w:rsid w:val="00D0615F"/>
    <w:rsid w:val="00D23D09"/>
    <w:rsid w:val="00D2736A"/>
    <w:rsid w:val="00D5131F"/>
    <w:rsid w:val="00D57D9B"/>
    <w:rsid w:val="00D86190"/>
    <w:rsid w:val="00DA7A07"/>
    <w:rsid w:val="00DC3CD8"/>
    <w:rsid w:val="00DC4526"/>
    <w:rsid w:val="00DC7E11"/>
    <w:rsid w:val="00DD4926"/>
    <w:rsid w:val="00DF69AA"/>
    <w:rsid w:val="00E15F20"/>
    <w:rsid w:val="00E37759"/>
    <w:rsid w:val="00E4581A"/>
    <w:rsid w:val="00E620AB"/>
    <w:rsid w:val="00E679BB"/>
    <w:rsid w:val="00E74FCF"/>
    <w:rsid w:val="00E866B5"/>
    <w:rsid w:val="00EA333A"/>
    <w:rsid w:val="00EB1D9D"/>
    <w:rsid w:val="00EB6DF7"/>
    <w:rsid w:val="00EE410A"/>
    <w:rsid w:val="00F24B4E"/>
    <w:rsid w:val="00F30675"/>
    <w:rsid w:val="00F449AC"/>
    <w:rsid w:val="00F53B32"/>
    <w:rsid w:val="00F56690"/>
    <w:rsid w:val="00F56B3A"/>
    <w:rsid w:val="00F579C4"/>
    <w:rsid w:val="00F773E3"/>
    <w:rsid w:val="00F861D3"/>
    <w:rsid w:val="00F9069A"/>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
    <w:name w:val="heading 2"/>
    <w:basedOn w:val="a1"/>
    <w:next w:val="a1"/>
    <w:qFormat/>
    <w:rsid w:val="00A07E40"/>
    <w:pPr>
      <w:keepNext/>
      <w:spacing w:before="240" w:after="60"/>
      <w:outlineLvl w:val="1"/>
    </w:pPr>
    <w:rPr>
      <w:b/>
      <w:bCs/>
      <w:i/>
      <w:iCs/>
    </w:rPr>
  </w:style>
  <w:style w:type="paragraph" w:styleId="3">
    <w:name w:val="heading 3"/>
    <w:basedOn w:val="a1"/>
    <w:next w:val="a1"/>
    <w:qFormat/>
    <w:rsid w:val="00A07E40"/>
    <w:pPr>
      <w:keepNext/>
      <w:spacing w:before="240" w:after="60"/>
      <w:outlineLvl w:val="2"/>
    </w:pPr>
    <w:rPr>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semiHidden/>
    <w:rsid w:val="00A07E40"/>
    <w:rPr>
      <w:rFonts w:ascii="Times New Roman" w:eastAsia="Times New Roman" w:hAnsi="Times New Roman" w:cs="Times New Roman"/>
      <w:sz w:val="20"/>
      <w:szCs w:val="20"/>
    </w:rPr>
  </w:style>
  <w:style w:type="character" w:styleId="a9">
    <w:name w:val="annotation reference"/>
    <w:basedOn w:val="a2"/>
    <w:semiHidden/>
    <w:rsid w:val="00A07E40"/>
    <w:rPr>
      <w:sz w:val="16"/>
      <w:szCs w:val="16"/>
    </w:rPr>
  </w:style>
  <w:style w:type="paragraph" w:styleId="aa">
    <w:name w:val="Balloon Text"/>
    <w:basedOn w:val="a1"/>
    <w:semiHidden/>
    <w:rsid w:val="00A07E40"/>
    <w:rPr>
      <w:rFonts w:ascii="Tahoma" w:hAnsi="Tahoma" w:cs="Tahoma"/>
      <w:sz w:val="16"/>
      <w:szCs w:val="16"/>
    </w:rPr>
  </w:style>
  <w:style w:type="character" w:styleId="ab">
    <w:name w:val="page number"/>
    <w:basedOn w:val="a2"/>
    <w:rsid w:val="00A07E40"/>
  </w:style>
  <w:style w:type="character" w:styleId="ac">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d">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81159E"/>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1"/>
    <w:rsid w:val="0081159E"/>
    <w:pPr>
      <w:spacing w:line="360" w:lineRule="auto"/>
      <w:jc w:val="both"/>
    </w:pPr>
    <w:rPr>
      <w:rFonts w:ascii="Times New Roman" w:eastAsia="Times New Roman" w:hAnsi="Times New Roman"/>
    </w:rPr>
  </w:style>
  <w:style w:type="paragraph" w:styleId="a">
    <w:name w:val="List Number"/>
    <w:basedOn w:val="a1"/>
    <w:rsid w:val="00C1469D"/>
    <w:pPr>
      <w:numPr>
        <w:numId w:val="18"/>
      </w:numPr>
      <w:spacing w:after="120" w:line="360" w:lineRule="auto"/>
    </w:pPr>
    <w:rPr>
      <w:rFonts w:ascii="Times New Roman" w:eastAsia="Times New Roman" w:hAnsi="Times New Roman"/>
    </w:rPr>
  </w:style>
  <w:style w:type="paragraph" w:customStyle="1" w:styleId="ae">
    <w:name w:val="כותרת"/>
    <w:basedOn w:val="a1"/>
    <w:next w:val="af"/>
    <w:autoRedefine/>
    <w:rsid w:val="00C1469D"/>
    <w:pPr>
      <w:spacing w:after="120" w:line="360" w:lineRule="auto"/>
    </w:pPr>
    <w:rPr>
      <w:rFonts w:ascii="Times New Roman" w:eastAsia="Times New Roman" w:hAnsi="Times New Roman"/>
      <w:bCs/>
      <w:u w:val="single"/>
      <w:lang w:eastAsia="he-IL"/>
    </w:rPr>
  </w:style>
  <w:style w:type="paragraph" w:customStyle="1" w:styleId="a0">
    <w:name w:val="ממוספר"/>
    <w:basedOn w:val="a1"/>
    <w:rsid w:val="00C1469D"/>
    <w:pPr>
      <w:numPr>
        <w:numId w:val="19"/>
      </w:numPr>
      <w:spacing w:after="120" w:line="360" w:lineRule="auto"/>
    </w:pPr>
    <w:rPr>
      <w:rFonts w:eastAsia="Times New Roman"/>
      <w:color w:val="000000"/>
    </w:rPr>
  </w:style>
  <w:style w:type="character" w:customStyle="1" w:styleId="default">
    <w:name w:val="default"/>
    <w:rsid w:val="00C1469D"/>
    <w:rPr>
      <w:rFonts w:ascii="Times New Roman" w:hAnsi="Times New Roman" w:cs="Times New Roman"/>
      <w:sz w:val="26"/>
      <w:szCs w:val="26"/>
    </w:rPr>
  </w:style>
  <w:style w:type="paragraph" w:styleId="af">
    <w:name w:val="List"/>
    <w:basedOn w:val="a1"/>
    <w:rsid w:val="00C1469D"/>
    <w:pPr>
      <w:ind w:left="283" w:hanging="283"/>
    </w:pPr>
    <w:rPr>
      <w:rFonts w:ascii="Times New Roman" w:eastAsia="Times New Roman" w:hAnsi="Times New Roman" w:cs="Times New Roman"/>
    </w:rPr>
  </w:style>
  <w:style w:type="paragraph" w:styleId="af0">
    <w:name w:val="List Paragraph"/>
    <w:basedOn w:val="a1"/>
    <w:uiPriority w:val="34"/>
    <w:qFormat/>
    <w:rsid w:val="00C1469D"/>
    <w:pPr>
      <w:ind w:left="720"/>
    </w:pPr>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CA684D0CDEE84A639D3D70AB6C667432"/>
        <w:category>
          <w:name w:val="כללי"/>
          <w:gallery w:val="placeholder"/>
        </w:category>
        <w:types>
          <w:type w:val="bbPlcHdr"/>
        </w:types>
        <w:behaviors>
          <w:behavior w:val="content"/>
        </w:behaviors>
        <w:guid w:val="{C2DDF424-0D8F-4D4A-9D19-1974C8753758}"/>
      </w:docPartPr>
      <w:docPartBody>
        <w:p w:rsidR="00283B33" w:rsidRDefault="0043588B" w:rsidP="0043588B">
          <w:pPr>
            <w:pStyle w:val="CA684D0CDEE84A639D3D70AB6C667432"/>
          </w:pPr>
          <w:r w:rsidRPr="002A7028">
            <w:rPr>
              <w:rFonts w:cs="David"/>
              <w:b/>
              <w:bCs/>
              <w:rtl/>
            </w:rPr>
            <w:t>שם פרטי חותם</w:t>
          </w:r>
        </w:p>
      </w:docPartBody>
    </w:docPart>
    <w:docPart>
      <w:docPartPr>
        <w:name w:val="6F5AAD4E0C484F919DD71EAF239B33C7"/>
        <w:category>
          <w:name w:val="כללי"/>
          <w:gallery w:val="placeholder"/>
        </w:category>
        <w:types>
          <w:type w:val="bbPlcHdr"/>
        </w:types>
        <w:behaviors>
          <w:behavior w:val="content"/>
        </w:behaviors>
        <w:guid w:val="{8A64EC70-ADEC-4669-BBF4-B0943D09033D}"/>
      </w:docPartPr>
      <w:docPartBody>
        <w:p w:rsidR="00283B33" w:rsidRDefault="0043588B" w:rsidP="0043588B">
          <w:pPr>
            <w:pStyle w:val="6F5AAD4E0C484F919DD71EAF239B33C7"/>
          </w:pPr>
          <w:r w:rsidRPr="002A7028">
            <w:rPr>
              <w:rFonts w:cs="David"/>
              <w:b/>
              <w:bCs/>
              <w:rtl/>
            </w:rPr>
            <w:t>שם משפחה חותם</w:t>
          </w:r>
        </w:p>
      </w:docPartBody>
    </w:docPart>
    <w:docPart>
      <w:docPartPr>
        <w:name w:val="2F93622FBBE94C6ABCFC5953B3E43FC1"/>
        <w:category>
          <w:name w:val="כללי"/>
          <w:gallery w:val="placeholder"/>
        </w:category>
        <w:types>
          <w:type w:val="bbPlcHdr"/>
        </w:types>
        <w:behaviors>
          <w:behavior w:val="content"/>
        </w:behaviors>
        <w:guid w:val="{28935F87-F7C6-4760-923A-5FA2488F7B65}"/>
      </w:docPartPr>
      <w:docPartBody>
        <w:p w:rsidR="00283B33" w:rsidRDefault="0043588B" w:rsidP="0043588B">
          <w:pPr>
            <w:pStyle w:val="2F93622FBBE94C6ABCFC5953B3E43FC1"/>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283B33"/>
    <w:rsid w:val="003305D0"/>
    <w:rsid w:val="0038174A"/>
    <w:rsid w:val="003E288D"/>
    <w:rsid w:val="004113C2"/>
    <w:rsid w:val="0043588B"/>
    <w:rsid w:val="004547C5"/>
    <w:rsid w:val="004D265C"/>
    <w:rsid w:val="0065412F"/>
    <w:rsid w:val="007D1B7A"/>
    <w:rsid w:val="007E6257"/>
    <w:rsid w:val="009009C8"/>
    <w:rsid w:val="00907022"/>
    <w:rsid w:val="00951FB8"/>
    <w:rsid w:val="00A5141A"/>
    <w:rsid w:val="00AD09F5"/>
    <w:rsid w:val="00AE1C74"/>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CA684D0CDEE84A639D3D70AB6C667432">
    <w:name w:val="CA684D0CDEE84A639D3D70AB6C667432"/>
    <w:rsid w:val="0043588B"/>
    <w:pPr>
      <w:bidi/>
    </w:pPr>
  </w:style>
  <w:style w:type="paragraph" w:customStyle="1" w:styleId="6F5AAD4E0C484F919DD71EAF239B33C7">
    <w:name w:val="6F5AAD4E0C484F919DD71EAF239B33C7"/>
    <w:rsid w:val="0043588B"/>
    <w:pPr>
      <w:bidi/>
    </w:pPr>
  </w:style>
  <w:style w:type="paragraph" w:customStyle="1" w:styleId="2F93622FBBE94C6ABCFC5953B3E43FC1">
    <w:name w:val="2F93622FBBE94C6ABCFC5953B3E43FC1"/>
    <w:rsid w:val="0043588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89484904</MeetingID>
    <MeetingDate>2024-07-08T00:00:00+03:00</MeetingDate>
    <StartTime>11:30     </StartTime>
    <FinishTime>12:00     </FinishTime>
    <AllDayEvent>false</AllDayEvent>
    <Label>0</Label>
    <ShowTimeAs>0</ShowTimeAs>
    <Remark/>
    <MeetingTypeID>1</MeetingTypeID>
    <UserID>302937503@GOV.IL</UserID>
    <ChangeDate>2024-07-04T10:58:16.633+03:00</ChangeDate>
    <MeetingMode>1</MeetingMode>
    <IsVCMeeting>false</IsVCMeeting>
  </dt_Meeting>
  <dt_MeetingUser>
    <MeetingID>89484904</MeetingID>
    <UserID>029737269@GOV.IL</UserID>
    <IsSynchronized>false</IsSynchronized>
    <ExchangeGUID>1ff1b983-f3fe-4c3e-9564-acf09037aafd.eml</ExchangeGUID>
    <OrdinalNumberID>0</OrdinalNumberID>
  </dt_MeetingUser>
  <dt_Sitting>
    <SittingID>97733262</SittingID>
    <MeetingID>89484904</MeetingID>
    <SittingTypeID>12</SittingTypeID>
    <CourtID>896</CourtID>
    <ActivatingMethodID>1</ActivatingMethodID>
    <SittingActivityStatusID>1</SittingActivityStatusID>
    <ChangeDate>2024-07-04T10:58:16.69+03:00</ChangeDate>
    <UserID>302937503@GOV.IL</UserID>
    <StartTime>11:30     </StartTime>
    <FinishTime>12:00     </FinishTime>
    <PreviousSittingID>97542258</PreviousSittingID>
    <Remark/>
    <OrdinalNumber>0</OrdinalNumber>
    <RemarkSittingType>נא' 1 ו- 3</RemarkSittingType>
    <ProtocolSubjectID>0</ProtocolSubjectID>
    <CourtDisplayName>בית המשפט המחוזי מרכז-לוד</CourtDisplayName>
    <IsProtocolFirst>0</IsProtocolFirst>
    <IsProtocolNotFirst>true</IsProtocolNotFirst>
    <ReadingDate>11/02/2020</ReadingDate>
    <ReadingTime>08:30</ReadingTime>
    <AccusedAnswerDate/>
    <AccusedAnswerTime/>
    <ProofDate>06/06/2024</ProofDate>
    <ProofTime>09:00</ProofTime>
    <CourtAddress>שדרות הציונות 3 לוד</CourtAddress>
    <IsTitleCaseExists>1</IsTitleCaseExists>
    <ProtocolSubject/>
    <CaseTypeID>10048</CaseTypeID>
  </dt_Sitting>
  <dt_SittingCase>
    <SittingCaseID>99213480</SittingCaseID>
    <SittingID>97733262</SittingID>
    <CaseID>76798880</CaseID>
    <CaseDisplayIdentifier>50575-09-19</CaseDisplayIdentifier>
    <CaseName>מדינת ישראל נ' פרוינד ואח'</CaseName>
    <CaseTypeDesc>ת"פ</CaseTypeDesc>
    <CaseLinkType>1</CaseLinkType>
  </dt_SittingCase>
  <dt_SittingCase>
    <SittingCaseID>99213481</SittingCaseID>
    <SittingID>97733262</SittingID>
    <CaseID>77551124</CaseID>
    <CaseDisplayIdentifier>21530-07-20</CaseDisplayIdentifier>
    <CaseName>מדינת ישראל נ' ישראילוב ואח'</CaseName>
    <CaseTypeDesc>ת"פ</CaseTypeDesc>
    <CaseLinkType>1</CaseLinkType>
  </dt_SittingCase>
  <dt_MeetingUserHistory>
    <MeetingUserHistoryID>1774882</MeetingUserHistoryID>
    <MeetingID>89484904</MeetingID>
    <UserID>029737269@GOV.IL</UserID>
    <MeetingUserActionTypeID>1</MeetingUserActionTypeID>
    <ActionDate>2024-07-04T10:58:16.707+03:00</ActionDate>
  </dt_MeetingUserHistory>
  <dt_Case>
    <CaseName>מדינת ישראל נ' פרוינד ואח'</CaseName>
  </dt_Case>
  <dt_CasePartyA>
    <CasePartyID>202294162</CasePartyID>
    <GroupPartyAlias>מאשימה</GroupPartyAlias>
    <PartyAliasID>11</PartyAliasID>
    <OrdinalNumber> .1</OrdinalNumber>
    <FullName>מדינת ישראל</FullName>
    <FullNameAndRoleName>1.  מדינת ישראל</FullNameAndRoleName>
    <FirstName/>
    <LastName>מדינת ישראל</LastName>
    <RoleName>מאשימה 1</RoleName>
    <TypeIdentifier/>
    <AuthenticationNumber/>
    <CasePartyTypeID>1</CasePartyTypeID>
    <IsPublicationProhibited>false</IsPublicationProhibited>
  </dt_CasePartyA>
  <dt_CasePartyA>
    <CasePartyID>213744653</CasePartyID>
    <GroupPartyAlias>מאשימה</GroupPartyAlias>
    <PartyAliasID>11</PartyAliasID>
    <OrdinalNumber> .1</OrdinalNumber>
    <FullName>מדינת ישראל</FullName>
    <FullNameAndRoleName>1.  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202294165</CasePartyID>
    <GroupPartyAlias>נאשמים</GroupPartyAlias>
    <PartyAliasID>13</PartyAliasID>
    <OrdinalNumber> .1</OrdinalNumber>
    <FullName>חנוך שאול פרוינד</FullName>
    <FullNameAndRoleName>1.  חנוך שאול פרוינד</FullNameAndRoleName>
    <FirstName>חנוך שאול</FirstName>
    <LastName>פרוינד</LastName>
    <RoleName>נאשם 1</RoleName>
    <TypeIdentifier>ת"ז</TypeIdentifier>
    <AuthenticationNumber>028718328</AuthenticationNumber>
    <CasePartyTypeID>1</CasePartyTypeID>
    <IsPublicationProhibited>false</IsPublicationProhibited>
  </dt_CasePartyB>
  <dt_CasePartyB>
    <CasePartyID>213744655</CasePartyID>
    <GroupPartyAlias>נאשמים</GroupPartyAlias>
    <PartyAliasID>13</PartyAliasID>
    <OrdinalNumber> .1</OrdinalNumber>
    <FullName>ולדימיר ישראילוב</FullName>
    <FullNameAndRoleName>1.  ולדימיר ישראילוב</FullNameAndRoleName>
    <FirstName>ולדימיר</FirstName>
    <LastName>ישראילוב</LastName>
    <RoleName>נאשם 1</RoleName>
    <TypeIdentifier>ת"ז</TypeIdentifier>
    <AuthenticationNumber>309067288</AuthenticationNumber>
    <CasePartyTypeID>1</CasePartyTypeID>
    <IsPublicationProhibited>false</IsPublicationProhibited>
  </dt_CasePartyB>
  <dt_CasePartyB>
    <CasePartyID>202294164</CasePartyID>
    <GroupPartyAlias>נאשמים</GroupPartyAlias>
    <PartyAliasID>13</PartyAliasID>
    <OrdinalNumber> .2</OrdinalNumber>
    <FullName>ח.ש פרוינד בע"מ</FullName>
    <FullNameAndRoleName>2.  ח.ש פרוינד בע"מ</FullNameAndRoleName>
    <FirstName/>
    <LastName>ח.ש פרוינד בע"מ</LastName>
    <RoleName>נאשם 2</RoleName>
    <TypeIdentifier>חברות</TypeIdentifier>
    <AuthenticationNumber>514877398</AuthenticationNumber>
    <CasePartyTypeID>1</CasePartyTypeID>
    <IsPublicationProhibited>false</IsPublicationProhibited>
  </dt_CasePartyB>
  <dt_CasePartyB>
    <CasePartyID>213744656</CasePartyID>
    <GroupPartyAlias>נאשמים</GroupPartyAlias>
    <PartyAliasID>13</PartyAliasID>
    <OrdinalNumber> .2</OrdinalNumber>
    <FullName>ו.י. בדיקת מתכות בע"מ</FullName>
    <FullNameAndRoleName>2.  ו.י. בדיקת מתכות בע"מ</FullNameAndRoleName>
    <FirstName/>
    <LastName>ו.י. בדיקת מתכות בע"מ</LastName>
    <RoleName>נאשם 2</RoleName>
    <TypeIdentifier>חברות</TypeIdentifier>
    <AuthenticationNumber>514893882</AuthenticationNumber>
    <CasePartyTypeID>1</CasePartyTypeID>
    <IsPublicationProhibited>false</IsPublicationProhibited>
  </dt_CasePartyB>
  <dt_CasePartyB>
    <CasePartyID>213744657</CasePartyID>
    <GroupPartyAlias>נאשמים</GroupPartyAlias>
    <PartyAliasID>13</PartyAliasID>
    <OrdinalNumber> .3</OrdinalNumber>
    <FullName>גיא רודניצקי (עציר)</FullName>
    <FullNameAndRoleName>3.  גיא רודניצקי (עציר)</FullNameAndRoleName>
    <FirstName>גיא</FirstName>
    <LastName>רודניצקי</LastName>
    <RoleName>נאשם 3</RoleName>
    <TypeIdentifier>ת"ז</TypeIdentifier>
    <AuthenticationNumber>066482415</AuthenticationNumber>
    <CasePartyTypeID>1</CasePartyTypeID>
    <IsPublicationProhibited>false</IsPublicationProhibited>
  </dt_CasePartyB>
  <dt_CasePartyB>
    <CasePartyID>213744658</CasePartyID>
    <GroupPartyAlias>נאשמים</GroupPartyAlias>
    <PartyAliasID>13</PartyAliasID>
    <OrdinalNumber> .4</OrdinalNumber>
    <FullName>שר זקוק מתכות עדינות (1988) בע"מ</FullName>
    <FullNameAndRoleName>4.  שר זקוק מתכות עדינות (1988) בע"מ</FullNameAndRoleName>
    <FirstName/>
    <LastName>שר זקוק מתכות עדינות (1988) בע"מ</LastName>
    <RoleName>נאשם 4</RoleName>
    <TypeIdentifier>חברות</TypeIdentifier>
    <AuthenticationNumber>511271850</AuthenticationNumber>
    <CasePartyTypeID>1</CasePartyTypeID>
    <IsPublicationProhibited>false</IsPublicationProhibited>
  </dt_CasePartyB>
  <UserMetaData>
    <UserPrincipalName/>
    <DisplayName>שופט, סגן הנשיאה עמי קובו</DisplayName>
    <UserIdentity>1</UserIdentity>
    <JudgeRoleName>שופט, סגן הנשיאה</JudgeRoleName>
  </UserMetaData>
  <dt_ExternalCase>
    <ExternalCaseID>71256066</ExternalCaseID>
    <ExternalCaseNumber>521122/2017</ExternalCaseNumber>
    <ExternalCaseTypeID>29</ExternalCaseTypeID>
    <ExternalCaseType>מספר פל"א</ExternalCaseType>
  </dt_ExternalCase>
  <dt_ExternalCase>
    <ExternalCaseID>71568756</ExternalCaseID>
    <ExternalCaseNumber>52122/2017</ExternalCaseNumber>
    <ExternalCaseTypeID>29</ExternalCaseTypeID>
    <ExternalCaseType>מספר פל"א</ExternalCaseType>
  </dt_ExternalCase>
</MeetingDS>
</file>

<file path=customXml/item2.xml><?xml version="1.0" encoding="utf-8"?>
<SignatureDS>
  <dt_Signature>
    <UserUPN>029737269@GOV.IL</UserUPN>
    <FirstName>עמי</FirstName>
    <LastName>קובו</LastName>
    <DisplayName>עמי קובו</DisplayName>
    <SignatureGrafic>/9j/4AAQSkZJRgABAQEAYABgAAD/2wBDAA4KCw0LCQ4NDA0QDw4RFiQXFhQUFiwgIRokNC43NjMuMjI6QVNGOj1OPjIySGJJTlZYXV5dOEVmbWVabFNbXVn/2wBDAQ8QEBYTFioXFypZOzI7WVlZWVlZWVlZWVlZWVlZWVlZWVlZWVlZWVlZWVlZWVlZWVlZWVlZWVlZWVlZWVlZWVn/wAARCAA2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</SignatureGrafic>
    <RoleID>65</RoleID>
    <TitleOrRoleName>שופט, סגן הנשיאה</TitleOrRoleName>
    <OrdinalNumber>1</OrdinalNumber>
  </dt_Signature>
</SignatureDS>
</file>

<file path=customXml/item3.xml><?xml version="1.0" encoding="utf-8"?>
<NewDataSet/>
</file>

<file path=customXml/item4.xml><?xml version="1.0" encoding="utf-8"?>
<AttendeesDS/>
</file>

<file path=customXml/itemProps1.xml><?xml version="1.0" encoding="utf-8"?>
<ds:datastoreItem xmlns:ds="http://schemas.openxmlformats.org/officeDocument/2006/customXml" ds:itemID="{42AEA886-AD3C-4110-B225-1EAE57C8B498}">
  <ds:schemaRefs/>
</ds:datastoreItem>
</file>

<file path=customXml/itemProps2.xml><?xml version="1.0" encoding="utf-8"?>
<ds:datastoreItem xmlns:ds="http://schemas.openxmlformats.org/officeDocument/2006/customXml" ds:itemID="{E70E5E95-0555-4EC7-B1CA-5712AF1DA919}">
  <ds:schemaRefs/>
</ds:datastoreItem>
</file>

<file path=customXml/itemProps3.xml><?xml version="1.0" encoding="utf-8"?>
<ds:datastoreItem xmlns:ds="http://schemas.openxmlformats.org/officeDocument/2006/customXml" ds:itemID="{13B87EB5-7778-454B-B42F-4C39FD0B37E1}">
  <ds:schemaRefs/>
</ds:datastoreItem>
</file>

<file path=customXml/itemProps4.xml><?xml version="1.0" encoding="utf-8"?>
<ds:datastoreItem xmlns:ds="http://schemas.openxmlformats.org/officeDocument/2006/customXml" ds:itemID="{7DDA8715-A662-4284-9B72-0602E809C26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2089</Words>
  <Characters>10448</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cp:lastPrinted>2024-07-08T09:25:00Z</cp:lastPrinted>
  <dcterms:created xsi:type="dcterms:W3CDTF">2024-07-11T07:24:00Z</dcterms:created>
  <dcterms:modified xsi:type="dcterms:W3CDTF">2024-07-11T07:24:00Z</dcterms:modified>
</cp:coreProperties>
</file>